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0A" w:rsidRPr="00B0633D" w:rsidRDefault="00DD150A" w:rsidP="00B0633D">
      <w:pPr>
        <w:jc w:val="center"/>
        <w:rPr>
          <w:b/>
          <w:sz w:val="28"/>
          <w:szCs w:val="28"/>
          <w:u w:val="single"/>
        </w:rPr>
      </w:pPr>
      <w:r w:rsidRPr="00B0633D">
        <w:rPr>
          <w:b/>
          <w:sz w:val="28"/>
          <w:szCs w:val="28"/>
          <w:u w:val="single"/>
        </w:rPr>
        <w:t>The Florida Bar Health Law Section Eat &amp; Educate Webinar Registration</w:t>
      </w:r>
      <w:r>
        <w:rPr>
          <w:b/>
          <w:sz w:val="28"/>
          <w:szCs w:val="28"/>
          <w:u w:val="single"/>
        </w:rPr>
        <w:br/>
      </w:r>
    </w:p>
    <w:p w:rsidR="00DD150A" w:rsidRDefault="00DD150A" w:rsidP="00B0633D">
      <w:pPr>
        <w:jc w:val="center"/>
        <w:rPr>
          <w:i/>
          <w:sz w:val="20"/>
          <w:szCs w:val="20"/>
        </w:rPr>
      </w:pPr>
      <w:r>
        <w:rPr>
          <w:i/>
          <w:sz w:val="20"/>
          <w:szCs w:val="20"/>
        </w:rPr>
        <w:t xml:space="preserve">Seminars will </w:t>
      </w:r>
      <w:r w:rsidRPr="005C3046">
        <w:rPr>
          <w:i/>
          <w:sz w:val="20"/>
          <w:szCs w:val="20"/>
        </w:rPr>
        <w:t xml:space="preserve">take place on the </w:t>
      </w:r>
      <w:r>
        <w:rPr>
          <w:i/>
          <w:sz w:val="20"/>
          <w:szCs w:val="20"/>
        </w:rPr>
        <w:t>1</w:t>
      </w:r>
      <w:r w:rsidRPr="00B0633D">
        <w:rPr>
          <w:i/>
          <w:sz w:val="20"/>
          <w:szCs w:val="20"/>
          <w:vertAlign w:val="superscript"/>
        </w:rPr>
        <w:t>st</w:t>
      </w:r>
      <w:r>
        <w:rPr>
          <w:i/>
          <w:sz w:val="20"/>
          <w:szCs w:val="20"/>
        </w:rPr>
        <w:t xml:space="preserve"> Tuesday of each month</w:t>
      </w:r>
      <w:r w:rsidRPr="005C3046">
        <w:rPr>
          <w:i/>
          <w:sz w:val="20"/>
          <w:szCs w:val="20"/>
        </w:rPr>
        <w:t>.</w:t>
      </w:r>
      <w:r>
        <w:rPr>
          <w:i/>
          <w:sz w:val="20"/>
          <w:szCs w:val="20"/>
        </w:rPr>
        <w:t xml:space="preserve"> 1 h</w:t>
      </w:r>
      <w:r w:rsidRPr="005C3046">
        <w:rPr>
          <w:i/>
          <w:sz w:val="20"/>
          <w:szCs w:val="20"/>
        </w:rPr>
        <w:t>our of CLE credit will be awarded for each seminar.</w:t>
      </w:r>
    </w:p>
    <w:p w:rsidR="00DD150A" w:rsidRDefault="00DD150A" w:rsidP="007C0CEF">
      <w:pPr>
        <w:jc w:val="center"/>
        <w:rPr>
          <w:i/>
          <w:sz w:val="20"/>
          <w:szCs w:val="20"/>
        </w:rPr>
      </w:pPr>
    </w:p>
    <w:p w:rsidR="00DD150A" w:rsidRPr="00391C4D" w:rsidRDefault="00DD150A" w:rsidP="00391C4D">
      <w:pPr>
        <w:jc w:val="center"/>
        <w:rPr>
          <w:b/>
          <w:sz w:val="32"/>
          <w:szCs w:val="32"/>
        </w:rPr>
      </w:pPr>
      <w:r w:rsidRPr="00391C4D">
        <w:rPr>
          <w:b/>
          <w:sz w:val="32"/>
          <w:szCs w:val="32"/>
        </w:rPr>
        <w:t xml:space="preserve">Tuesday, May 3, 2011 </w:t>
      </w:r>
      <w:r>
        <w:rPr>
          <w:b/>
          <w:sz w:val="32"/>
          <w:szCs w:val="32"/>
        </w:rPr>
        <w:tab/>
      </w:r>
      <w:r>
        <w:rPr>
          <w:b/>
          <w:sz w:val="32"/>
          <w:szCs w:val="32"/>
        </w:rPr>
        <w:tab/>
      </w:r>
      <w:r>
        <w:rPr>
          <w:b/>
          <w:sz w:val="32"/>
          <w:szCs w:val="32"/>
        </w:rPr>
        <w:tab/>
      </w:r>
      <w:r>
        <w:rPr>
          <w:b/>
          <w:sz w:val="32"/>
          <w:szCs w:val="32"/>
        </w:rPr>
        <w:tab/>
      </w:r>
      <w:r w:rsidRPr="00391C4D">
        <w:rPr>
          <w:b/>
          <w:sz w:val="32"/>
          <w:szCs w:val="32"/>
        </w:rPr>
        <w:t>12 noon – 1:00 p.m.</w:t>
      </w:r>
      <w:r>
        <w:rPr>
          <w:b/>
          <w:sz w:val="32"/>
          <w:szCs w:val="32"/>
        </w:rPr>
        <w:t xml:space="preserve"> EST</w:t>
      </w:r>
    </w:p>
    <w:p w:rsidR="00DD150A" w:rsidRDefault="00DD150A" w:rsidP="00B0633D">
      <w:pPr>
        <w:autoSpaceDE w:val="0"/>
        <w:autoSpaceDN w:val="0"/>
        <w:adjustRightInd w:val="0"/>
        <w:jc w:val="center"/>
        <w:rPr>
          <w:b/>
          <w:sz w:val="32"/>
          <w:szCs w:val="32"/>
          <w:u w:val="single"/>
        </w:rPr>
      </w:pPr>
    </w:p>
    <w:p w:rsidR="00DD150A" w:rsidRPr="000D1D15" w:rsidRDefault="00DD150A" w:rsidP="00B0633D">
      <w:pPr>
        <w:autoSpaceDE w:val="0"/>
        <w:autoSpaceDN w:val="0"/>
        <w:adjustRightInd w:val="0"/>
        <w:jc w:val="center"/>
        <w:rPr>
          <w:sz w:val="22"/>
          <w:szCs w:val="22"/>
          <w:u w:val="single"/>
        </w:rPr>
      </w:pPr>
      <w:r w:rsidRPr="000D1D15">
        <w:rPr>
          <w:b/>
          <w:sz w:val="32"/>
          <w:szCs w:val="32"/>
          <w:u w:val="single"/>
        </w:rPr>
        <w:t>A.H.C.A. Change of Ownership</w:t>
      </w:r>
      <w:r w:rsidRPr="000D1D15">
        <w:rPr>
          <w:sz w:val="32"/>
          <w:szCs w:val="32"/>
          <w:u w:val="single"/>
        </w:rPr>
        <w:t xml:space="preserve">  </w:t>
      </w:r>
      <w:r>
        <w:rPr>
          <w:sz w:val="32"/>
          <w:szCs w:val="32"/>
          <w:u w:val="single"/>
        </w:rPr>
        <w:br/>
      </w:r>
      <w:r w:rsidRPr="000D1D15">
        <w:rPr>
          <w:sz w:val="22"/>
          <w:szCs w:val="22"/>
          <w:u w:val="single"/>
        </w:rPr>
        <w:t xml:space="preserve">  </w:t>
      </w:r>
    </w:p>
    <w:p w:rsidR="00DD150A" w:rsidRPr="00B0633D" w:rsidRDefault="00DD150A" w:rsidP="00B0633D">
      <w:pPr>
        <w:autoSpaceDE w:val="0"/>
        <w:autoSpaceDN w:val="0"/>
        <w:adjustRightInd w:val="0"/>
        <w:jc w:val="center"/>
        <w:rPr>
          <w:color w:val="000000"/>
          <w:sz w:val="22"/>
          <w:szCs w:val="22"/>
        </w:rPr>
      </w:pPr>
      <w:r>
        <w:rPr>
          <w:color w:val="000000"/>
          <w:sz w:val="22"/>
          <w:szCs w:val="22"/>
        </w:rPr>
        <w:t xml:space="preserve">Mark Hinely and Craig Smith, both </w:t>
      </w:r>
      <w:r w:rsidRPr="00B0633D">
        <w:rPr>
          <w:color w:val="000000"/>
          <w:sz w:val="22"/>
          <w:szCs w:val="22"/>
        </w:rPr>
        <w:t>Health Care Attorneys with public and private sector experience in Health Facility Regulation</w:t>
      </w:r>
      <w:r>
        <w:rPr>
          <w:color w:val="000000"/>
          <w:sz w:val="22"/>
          <w:szCs w:val="22"/>
        </w:rPr>
        <w:t>,</w:t>
      </w:r>
      <w:r w:rsidRPr="00B0633D">
        <w:rPr>
          <w:color w:val="000000"/>
          <w:sz w:val="22"/>
          <w:szCs w:val="22"/>
        </w:rPr>
        <w:t xml:space="preserve"> will walk through the Licensure Regulations, Process and also issues applicable to the change of ownership of a Health Care Facility.</w:t>
      </w:r>
    </w:p>
    <w:p w:rsidR="00DD150A" w:rsidRPr="005C3046" w:rsidRDefault="00DD150A" w:rsidP="007C0CEF">
      <w:pPr>
        <w:jc w:val="center"/>
        <w:rPr>
          <w:i/>
          <w:sz w:val="20"/>
          <w:szCs w:val="20"/>
        </w:rPr>
      </w:pPr>
    </w:p>
    <w:p w:rsidR="00DD150A" w:rsidRPr="006A323D" w:rsidRDefault="00DD150A">
      <w:pPr>
        <w:rPr>
          <w:sz w:val="16"/>
          <w:szCs w:val="16"/>
        </w:rPr>
      </w:pPr>
    </w:p>
    <w:p w:rsidR="00DD150A" w:rsidRPr="00FF0071" w:rsidRDefault="00DD150A" w:rsidP="00B0633D">
      <w:pPr>
        <w:jc w:val="center"/>
        <w:rPr>
          <w:sz w:val="22"/>
          <w:szCs w:val="22"/>
        </w:rPr>
      </w:pPr>
      <w:r w:rsidRPr="00F217A6">
        <w:rPr>
          <w:rFonts w:ascii="Wingdings" w:hAnsi="Wingdings"/>
          <w:b/>
          <w:sz w:val="22"/>
          <w:szCs w:val="22"/>
        </w:rPr>
        <w:t></w:t>
      </w:r>
      <w:r w:rsidRPr="00F217A6">
        <w:rPr>
          <w:b/>
          <w:sz w:val="22"/>
          <w:szCs w:val="22"/>
        </w:rPr>
        <w:t xml:space="preserve"> </w:t>
      </w:r>
      <w:r>
        <w:rPr>
          <w:b/>
          <w:sz w:val="22"/>
          <w:szCs w:val="22"/>
        </w:rPr>
        <w:t>Member of Health Law Section</w:t>
      </w:r>
      <w:r>
        <w:rPr>
          <w:b/>
          <w:sz w:val="22"/>
          <w:szCs w:val="22"/>
        </w:rPr>
        <w:tab/>
        <w:t xml:space="preserve">$20 </w:t>
      </w:r>
      <w:r w:rsidRPr="00FF0071">
        <w:rPr>
          <w:sz w:val="22"/>
          <w:szCs w:val="22"/>
        </w:rPr>
        <w:t>(Item #8130006)</w:t>
      </w:r>
    </w:p>
    <w:p w:rsidR="00DD150A" w:rsidRPr="00F217A6" w:rsidRDefault="00DD150A" w:rsidP="00B0633D">
      <w:pPr>
        <w:jc w:val="center"/>
        <w:rPr>
          <w:sz w:val="22"/>
          <w:szCs w:val="22"/>
        </w:rPr>
      </w:pPr>
      <w:r w:rsidRPr="00FF0071">
        <w:rPr>
          <w:rFonts w:ascii="Wingdings" w:hAnsi="Wingdings"/>
          <w:b/>
          <w:sz w:val="22"/>
          <w:szCs w:val="22"/>
        </w:rPr>
        <w:t></w:t>
      </w:r>
      <w:r w:rsidRPr="00FF0071">
        <w:rPr>
          <w:b/>
          <w:sz w:val="22"/>
          <w:szCs w:val="22"/>
        </w:rPr>
        <w:t xml:space="preserve"> Non- Section Member</w:t>
      </w:r>
      <w:r w:rsidRPr="00FF0071">
        <w:rPr>
          <w:b/>
          <w:sz w:val="22"/>
          <w:szCs w:val="22"/>
        </w:rPr>
        <w:tab/>
      </w:r>
      <w:r w:rsidRPr="00FF0071">
        <w:rPr>
          <w:b/>
          <w:sz w:val="22"/>
          <w:szCs w:val="22"/>
        </w:rPr>
        <w:tab/>
        <w:t xml:space="preserve">$50 </w:t>
      </w:r>
      <w:r w:rsidRPr="00FF0071">
        <w:rPr>
          <w:sz w:val="22"/>
          <w:szCs w:val="22"/>
        </w:rPr>
        <w:t>(Item #8130007)</w:t>
      </w:r>
      <w:r>
        <w:rPr>
          <w:sz w:val="22"/>
          <w:szCs w:val="22"/>
        </w:rPr>
        <w:br/>
      </w:r>
      <w:r>
        <w:rPr>
          <w:sz w:val="22"/>
          <w:szCs w:val="22"/>
        </w:rPr>
        <w:br/>
      </w:r>
    </w:p>
    <w:p w:rsidR="00DD150A" w:rsidRPr="000D1D15" w:rsidRDefault="00DD150A" w:rsidP="000D1D15">
      <w:pPr>
        <w:jc w:val="center"/>
        <w:rPr>
          <w:sz w:val="22"/>
          <w:szCs w:val="22"/>
        </w:rPr>
      </w:pPr>
      <w:r w:rsidRPr="00F217A6">
        <w:rPr>
          <w:sz w:val="22"/>
          <w:szCs w:val="22"/>
        </w:rPr>
        <w:t>All registration fees are non-refundable.</w:t>
      </w:r>
      <w:r>
        <w:rPr>
          <w:sz w:val="22"/>
          <w:szCs w:val="22"/>
        </w:rPr>
        <w:t xml:space="preserve"> To participate, you must have Microsoft Silverlight loaded onto your computer (</w:t>
      </w:r>
      <w:hyperlink r:id="rId4" w:history="1">
        <w:r w:rsidRPr="00337CDB">
          <w:rPr>
            <w:rStyle w:val="Hyperlink"/>
            <w:sz w:val="22"/>
            <w:szCs w:val="22"/>
          </w:rPr>
          <w:t>http://www.silverlight.net/</w:t>
        </w:r>
      </w:hyperlink>
      <w:r>
        <w:rPr>
          <w:sz w:val="22"/>
          <w:szCs w:val="22"/>
        </w:rPr>
        <w:t xml:space="preserve">) and working speakers. The email address you provide below will be used to send you the link to log in to the Webinar. </w:t>
      </w:r>
    </w:p>
    <w:p w:rsidR="00DD150A" w:rsidRPr="00F217A6" w:rsidRDefault="00DD150A" w:rsidP="00B0633D">
      <w:pPr>
        <w:pBdr>
          <w:bottom w:val="single" w:sz="12" w:space="0" w:color="auto"/>
        </w:pBdr>
        <w:jc w:val="center"/>
        <w:rPr>
          <w:b/>
          <w:sz w:val="22"/>
          <w:szCs w:val="22"/>
        </w:rPr>
      </w:pPr>
    </w:p>
    <w:p w:rsidR="00DD150A" w:rsidRDefault="00DD150A">
      <w:pPr>
        <w:rPr>
          <w:sz w:val="22"/>
          <w:szCs w:val="22"/>
        </w:rPr>
      </w:pPr>
    </w:p>
    <w:p w:rsidR="00DD150A" w:rsidRPr="00F217A6" w:rsidRDefault="00DD150A">
      <w:pPr>
        <w:rPr>
          <w:sz w:val="22"/>
          <w:szCs w:val="22"/>
        </w:rPr>
      </w:pPr>
      <w:r w:rsidRPr="00F217A6">
        <w:rPr>
          <w:sz w:val="22"/>
          <w:szCs w:val="22"/>
        </w:rPr>
        <w:t>_________________________________</w:t>
      </w:r>
      <w:r>
        <w:rPr>
          <w:sz w:val="22"/>
          <w:szCs w:val="22"/>
        </w:rPr>
        <w:t>___      ________________       _____________________________</w:t>
      </w:r>
    </w:p>
    <w:p w:rsidR="00DD150A" w:rsidRPr="00F217A6" w:rsidRDefault="00DD150A">
      <w:pP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17A6">
        <w:rPr>
          <w:sz w:val="22"/>
          <w:szCs w:val="22"/>
        </w:rPr>
        <w:t>Bar Number</w:t>
      </w:r>
      <w:r>
        <w:rPr>
          <w:sz w:val="22"/>
          <w:szCs w:val="22"/>
        </w:rPr>
        <w:t xml:space="preserve"> </w:t>
      </w:r>
      <w:r>
        <w:rPr>
          <w:sz w:val="22"/>
          <w:szCs w:val="22"/>
        </w:rPr>
        <w:tab/>
      </w:r>
      <w:r>
        <w:rPr>
          <w:sz w:val="22"/>
          <w:szCs w:val="22"/>
        </w:rPr>
        <w:tab/>
      </w:r>
      <w:r>
        <w:rPr>
          <w:b/>
          <w:sz w:val="22"/>
          <w:szCs w:val="22"/>
        </w:rPr>
        <w:t xml:space="preserve">Email Address Required </w:t>
      </w:r>
    </w:p>
    <w:p w:rsidR="00DD150A" w:rsidRPr="00F217A6" w:rsidRDefault="00DD150A">
      <w:pPr>
        <w:rPr>
          <w:sz w:val="22"/>
          <w:szCs w:val="22"/>
        </w:rPr>
      </w:pPr>
      <w:r w:rsidRPr="00F217A6">
        <w:rPr>
          <w:sz w:val="22"/>
          <w:szCs w:val="22"/>
        </w:rPr>
        <w:tab/>
      </w:r>
      <w:r>
        <w:rPr>
          <w:b/>
          <w:sz w:val="22"/>
          <w:szCs w:val="22"/>
        </w:rPr>
        <w:tab/>
      </w:r>
      <w:r>
        <w:rPr>
          <w:b/>
          <w:sz w:val="22"/>
          <w:szCs w:val="22"/>
        </w:rPr>
        <w:tab/>
      </w:r>
      <w:r>
        <w:rPr>
          <w:b/>
          <w:sz w:val="22"/>
          <w:szCs w:val="22"/>
        </w:rPr>
        <w:tab/>
      </w:r>
    </w:p>
    <w:p w:rsidR="00DD150A" w:rsidRPr="00F3356A" w:rsidRDefault="00DD150A" w:rsidP="00346D92">
      <w:pPr>
        <w:jc w:val="center"/>
        <w:rPr>
          <w:b/>
        </w:rPr>
      </w:pPr>
      <w:r w:rsidRPr="00F3356A">
        <w:t xml:space="preserve">Please fax this form to Ashlea Wiley at </w:t>
      </w:r>
      <w:r w:rsidRPr="00F3356A">
        <w:rPr>
          <w:b/>
        </w:rPr>
        <w:t xml:space="preserve">850-561-9427 </w:t>
      </w:r>
      <w:r w:rsidRPr="00F3356A">
        <w:rPr>
          <w:u w:val="single"/>
        </w:rPr>
        <w:t>on or before</w:t>
      </w:r>
      <w:r>
        <w:t xml:space="preserve"> 12 noon on May 2, 2011.</w:t>
      </w:r>
      <w:r>
        <w:br/>
      </w:r>
    </w:p>
    <w:p w:rsidR="00DD150A" w:rsidRPr="000A076D" w:rsidRDefault="00DD150A">
      <w:pPr>
        <w:rPr>
          <w:b/>
          <w:i/>
          <w:sz w:val="22"/>
          <w:szCs w:val="22"/>
          <w:u w:val="single"/>
        </w:rPr>
      </w:pPr>
      <w:r w:rsidRPr="00346D92">
        <w:rPr>
          <w:b/>
          <w:i/>
          <w:sz w:val="22"/>
          <w:szCs w:val="22"/>
          <w:u w:val="single"/>
        </w:rPr>
        <w:t>Credit Card</w:t>
      </w:r>
    </w:p>
    <w:p w:rsidR="00DD150A" w:rsidRPr="00BF13A9" w:rsidRDefault="00DD150A" w:rsidP="00DC6CD6">
      <w:pPr>
        <w:jc w:val="center"/>
        <w:rPr>
          <w:b/>
          <w:sz w:val="22"/>
          <w:szCs w:val="22"/>
        </w:rPr>
      </w:pPr>
      <w:r w:rsidRPr="00F217A6">
        <w:rPr>
          <w:sz w:val="22"/>
          <w:szCs w:val="22"/>
        </w:rPr>
        <w:softHyphen/>
      </w:r>
      <w:r>
        <w:rPr>
          <w:sz w:val="22"/>
          <w:szCs w:val="22"/>
        </w:rPr>
        <w:t>□</w:t>
      </w:r>
      <w:r w:rsidRPr="00F217A6">
        <w:rPr>
          <w:b/>
          <w:sz w:val="22"/>
          <w:szCs w:val="22"/>
        </w:rPr>
        <w:t xml:space="preserve"> </w:t>
      </w:r>
      <w:r w:rsidRPr="00F217A6">
        <w:rPr>
          <w:rFonts w:ascii="Wingdings" w:hAnsi="Wingdings"/>
          <w:b/>
          <w:sz w:val="22"/>
          <w:szCs w:val="22"/>
        </w:rPr>
        <w:t></w:t>
      </w:r>
      <w:r w:rsidRPr="00BF13A9">
        <w:rPr>
          <w:b/>
          <w:sz w:val="22"/>
          <w:szCs w:val="22"/>
        </w:rPr>
        <w:t>Master Card</w:t>
      </w:r>
      <w:r w:rsidRPr="00F217A6">
        <w:rPr>
          <w:rFonts w:ascii="Wingdings" w:hAnsi="Wingdings"/>
          <w:b/>
          <w:sz w:val="22"/>
          <w:szCs w:val="22"/>
        </w:rPr>
        <w:t></w:t>
      </w:r>
      <w:r w:rsidRPr="00F217A6">
        <w:rPr>
          <w:rFonts w:ascii="Wingdings" w:hAnsi="Wingdings"/>
          <w:b/>
          <w:sz w:val="22"/>
          <w:szCs w:val="22"/>
        </w:rPr>
        <w:t></w:t>
      </w:r>
      <w:r w:rsidRPr="00F217A6">
        <w:rPr>
          <w:rFonts w:ascii="Wingdings" w:hAnsi="Wingdings"/>
          <w:b/>
          <w:sz w:val="22"/>
          <w:szCs w:val="22"/>
        </w:rPr>
        <w:t></w:t>
      </w:r>
      <w:r>
        <w:rPr>
          <w:b/>
          <w:sz w:val="22"/>
          <w:szCs w:val="22"/>
        </w:rPr>
        <w:t>□</w:t>
      </w:r>
      <w:r w:rsidRPr="00F217A6">
        <w:rPr>
          <w:b/>
          <w:sz w:val="22"/>
          <w:szCs w:val="22"/>
        </w:rPr>
        <w:t xml:space="preserve"> Visa</w:t>
      </w:r>
      <w:r>
        <w:rPr>
          <w:sz w:val="22"/>
          <w:szCs w:val="22"/>
        </w:rPr>
        <w:tab/>
      </w:r>
      <w:r w:rsidRPr="00BF13A9">
        <w:rPr>
          <w:b/>
          <w:sz w:val="22"/>
          <w:szCs w:val="22"/>
        </w:rPr>
        <w:t>□</w:t>
      </w:r>
      <w:r>
        <w:rPr>
          <w:b/>
          <w:sz w:val="22"/>
          <w:szCs w:val="22"/>
        </w:rPr>
        <w:t xml:space="preserve">   Discover </w:t>
      </w:r>
      <w:r>
        <w:rPr>
          <w:b/>
          <w:sz w:val="22"/>
          <w:szCs w:val="22"/>
        </w:rPr>
        <w:tab/>
        <w:t>□   AMEX</w:t>
      </w:r>
    </w:p>
    <w:p w:rsidR="00DD150A" w:rsidRDefault="00DD150A" w:rsidP="007C0CEF">
      <w:pPr>
        <w:rPr>
          <w:b/>
          <w:sz w:val="22"/>
          <w:szCs w:val="22"/>
        </w:rPr>
      </w:pPr>
    </w:p>
    <w:p w:rsidR="00DD150A" w:rsidRPr="00DE7F0F" w:rsidRDefault="00DD150A" w:rsidP="007C0CEF">
      <w:pPr>
        <w:rPr>
          <w:b/>
          <w:sz w:val="22"/>
          <w:szCs w:val="22"/>
          <w:u w:val="single"/>
        </w:rPr>
      </w:pPr>
      <w:r w:rsidRPr="00DE7F0F">
        <w:rPr>
          <w:b/>
          <w:sz w:val="22"/>
          <w:szCs w:val="22"/>
        </w:rPr>
        <w:t>___________________________________</w:t>
      </w:r>
      <w:r w:rsidRPr="00F217A6">
        <w:rPr>
          <w:sz w:val="22"/>
          <w:szCs w:val="22"/>
        </w:rPr>
        <w:t xml:space="preserve">          </w:t>
      </w:r>
      <w:r w:rsidRPr="00DE7F0F">
        <w:rPr>
          <w:b/>
          <w:sz w:val="22"/>
          <w:szCs w:val="22"/>
        </w:rPr>
        <w:t>______________________________</w:t>
      </w:r>
      <w:r>
        <w:rPr>
          <w:b/>
          <w:sz w:val="22"/>
          <w:szCs w:val="22"/>
        </w:rPr>
        <w:t>__________</w:t>
      </w:r>
      <w:r w:rsidRPr="00DE7F0F">
        <w:rPr>
          <w:b/>
          <w:sz w:val="22"/>
          <w:szCs w:val="22"/>
        </w:rPr>
        <w:t>__</w:t>
      </w:r>
    </w:p>
    <w:p w:rsidR="00DD150A" w:rsidRDefault="00DD150A">
      <w:pPr>
        <w:rPr>
          <w:sz w:val="22"/>
          <w:szCs w:val="22"/>
        </w:rPr>
      </w:pPr>
      <w:r w:rsidRPr="00F217A6">
        <w:rPr>
          <w:sz w:val="22"/>
          <w:szCs w:val="22"/>
        </w:rPr>
        <w:t>Name on Card</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Card Number</w:t>
      </w:r>
    </w:p>
    <w:p w:rsidR="00DD150A" w:rsidRPr="00F217A6" w:rsidRDefault="00DD150A">
      <w:pPr>
        <w:rPr>
          <w:sz w:val="22"/>
          <w:szCs w:val="22"/>
        </w:rPr>
      </w:pPr>
      <w:r w:rsidRPr="00F217A6">
        <w:rPr>
          <w:sz w:val="22"/>
          <w:szCs w:val="22"/>
        </w:rPr>
        <w:tab/>
      </w:r>
    </w:p>
    <w:p w:rsidR="00DD150A" w:rsidRPr="00F217A6" w:rsidRDefault="00DD150A" w:rsidP="007C0CEF">
      <w:pPr>
        <w:rPr>
          <w:sz w:val="22"/>
          <w:szCs w:val="22"/>
        </w:rPr>
      </w:pPr>
      <w:r w:rsidRPr="00F217A6">
        <w:rPr>
          <w:sz w:val="22"/>
          <w:szCs w:val="22"/>
        </w:rPr>
        <w:t>___________________________________          _____/_____  (mo/yr)</w:t>
      </w:r>
      <w:r>
        <w:rPr>
          <w:sz w:val="22"/>
          <w:szCs w:val="22"/>
        </w:rPr>
        <w:t xml:space="preserve"> </w:t>
      </w:r>
      <w:r>
        <w:rPr>
          <w:sz w:val="22"/>
          <w:szCs w:val="22"/>
        </w:rPr>
        <w:tab/>
        <w:t xml:space="preserve">    </w:t>
      </w:r>
      <w:r w:rsidRPr="00DE7F0F">
        <w:rPr>
          <w:b/>
          <w:sz w:val="22"/>
          <w:szCs w:val="22"/>
        </w:rPr>
        <w:t>____________________</w:t>
      </w:r>
    </w:p>
    <w:p w:rsidR="00DD150A" w:rsidRDefault="00DD150A" w:rsidP="007C0CEF">
      <w:pPr>
        <w:rPr>
          <w:sz w:val="22"/>
          <w:szCs w:val="22"/>
        </w:rPr>
      </w:pPr>
      <w:r w:rsidRPr="00F217A6">
        <w:rPr>
          <w:sz w:val="22"/>
          <w:szCs w:val="22"/>
        </w:rPr>
        <w:t>Signature</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Exp. Date</w:t>
      </w:r>
      <w:r>
        <w:rPr>
          <w:sz w:val="22"/>
          <w:szCs w:val="22"/>
        </w:rPr>
        <w:tab/>
      </w:r>
      <w:r>
        <w:rPr>
          <w:sz w:val="22"/>
          <w:szCs w:val="22"/>
        </w:rPr>
        <w:tab/>
        <w:t xml:space="preserve">    Billing Zip Code</w:t>
      </w:r>
      <w:r>
        <w:rPr>
          <w:sz w:val="22"/>
          <w:szCs w:val="22"/>
        </w:rPr>
        <w:br/>
      </w:r>
    </w:p>
    <w:p w:rsidR="00DD150A" w:rsidRDefault="00DD150A" w:rsidP="007C0CEF">
      <w:pPr>
        <w:rPr>
          <w:sz w:val="22"/>
          <w:szCs w:val="22"/>
        </w:rPr>
      </w:pPr>
    </w:p>
    <w:p w:rsidR="00DD150A" w:rsidRPr="00F3356A" w:rsidRDefault="00DD150A" w:rsidP="00F3356A">
      <w:pPr>
        <w:rPr>
          <w:sz w:val="22"/>
          <w:szCs w:val="22"/>
        </w:rPr>
      </w:pPr>
      <w:r w:rsidRPr="00F3356A">
        <w:rPr>
          <w:sz w:val="22"/>
          <w:szCs w:val="22"/>
        </w:rPr>
        <w:t>If paying by check, please make payable to The Florida Bar and send to 651 E. Jefferson St., Tall, FL 32399</w:t>
      </w:r>
    </w:p>
    <w:p w:rsidR="00DD150A" w:rsidRDefault="00DD150A" w:rsidP="007C0CEF">
      <w:pPr>
        <w:pBdr>
          <w:bottom w:val="single" w:sz="12" w:space="1" w:color="auto"/>
        </w:pBdr>
        <w:rPr>
          <w:sz w:val="22"/>
          <w:szCs w:val="22"/>
        </w:rPr>
      </w:pPr>
    </w:p>
    <w:p w:rsidR="00DD150A" w:rsidRDefault="00DD150A" w:rsidP="007C0CEF">
      <w:pPr>
        <w:rPr>
          <w:sz w:val="22"/>
          <w:szCs w:val="22"/>
        </w:rPr>
      </w:pPr>
    </w:p>
    <w:p w:rsidR="00DD150A" w:rsidRPr="00FA6B6F" w:rsidRDefault="00DD150A" w:rsidP="00B0633D">
      <w:pPr>
        <w:autoSpaceDE w:val="0"/>
        <w:autoSpaceDN w:val="0"/>
        <w:adjustRightInd w:val="0"/>
        <w:rPr>
          <w:color w:val="000000"/>
          <w:sz w:val="20"/>
          <w:szCs w:val="20"/>
        </w:rPr>
      </w:pPr>
      <w:r w:rsidRPr="00FA6B6F">
        <w:rPr>
          <w:b/>
          <w:color w:val="000000"/>
          <w:sz w:val="20"/>
          <w:szCs w:val="20"/>
        </w:rPr>
        <w:t>MARK HINELY</w:t>
      </w:r>
      <w:r w:rsidRPr="00FA6B6F">
        <w:rPr>
          <w:color w:val="000000"/>
          <w:sz w:val="20"/>
          <w:szCs w:val="20"/>
        </w:rPr>
        <w:t xml:space="preserve"> graduated from Florida State University College of Law and was admitted to the Florida Bar in 2007.  He has worked in the General Counsel’s office at the Agency for Health Care Administration in health facility regulation and in regulatory affairs for an HMO serving Medicaid, Medicare and SCHIP members.  His experience also includes legislative analysis, health policy, and administrative litigation.</w:t>
      </w:r>
    </w:p>
    <w:p w:rsidR="00DD150A" w:rsidRPr="00FA6B6F" w:rsidRDefault="00DD150A" w:rsidP="00B0633D">
      <w:pPr>
        <w:rPr>
          <w:rStyle w:val="bionamecap1"/>
          <w:sz w:val="20"/>
          <w:szCs w:val="20"/>
        </w:rPr>
      </w:pPr>
    </w:p>
    <w:p w:rsidR="00DD150A" w:rsidRPr="00FA6B6F" w:rsidRDefault="00DD150A" w:rsidP="00B0633D">
      <w:pPr>
        <w:rPr>
          <w:sz w:val="20"/>
          <w:szCs w:val="20"/>
        </w:rPr>
      </w:pPr>
      <w:r w:rsidRPr="00FA6B6F">
        <w:rPr>
          <w:rStyle w:val="bionamecap1"/>
          <w:rFonts w:ascii="Times New Roman" w:hAnsi="Times New Roman" w:cs="Times New Roman"/>
          <w:sz w:val="20"/>
          <w:szCs w:val="20"/>
        </w:rPr>
        <w:t xml:space="preserve">Craig H. Smith </w:t>
      </w:r>
      <w:r w:rsidRPr="00FA6B6F">
        <w:rPr>
          <w:sz w:val="20"/>
          <w:szCs w:val="20"/>
        </w:rPr>
        <w:t xml:space="preserve">is Board Certified in Health Law by the Florida Bar, and he represents health care industry clients on a wide range of regulatory, transactional, and litigation matters. As General Counsel of the agency with a budget of </w:t>
      </w:r>
      <w:r w:rsidRPr="000D1D15">
        <w:rPr>
          <w:sz w:val="20"/>
          <w:szCs w:val="20"/>
        </w:rPr>
        <w:t>over $17 billion that regulates more than 32,000 health care facilities, Mr. Smith supervised over 40 in-house lawyers in four different offices across Florida and was a member of the agency's Senior Management Team. While serving as the chief legal officer of one of the nation's largest Medicaid programs, Mr. Smith coordinated frequently with federal officials at the Centers for Medicare and Medicaid Services and the Department of Justice.</w:t>
      </w:r>
      <w:r w:rsidRPr="00540682">
        <w:t> </w:t>
      </w:r>
    </w:p>
    <w:sectPr w:rsidR="00DD150A" w:rsidRPr="00FA6B6F" w:rsidSect="00140A52">
      <w:pgSz w:w="12240" w:h="15840"/>
      <w:pgMar w:top="1224" w:right="1296" w:bottom="99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51B"/>
    <w:rsid w:val="000A076D"/>
    <w:rsid w:val="000D1D15"/>
    <w:rsid w:val="00140A52"/>
    <w:rsid w:val="00162F25"/>
    <w:rsid w:val="001679FB"/>
    <w:rsid w:val="002039DF"/>
    <w:rsid w:val="00327E74"/>
    <w:rsid w:val="00337CDB"/>
    <w:rsid w:val="00346D92"/>
    <w:rsid w:val="00391C4D"/>
    <w:rsid w:val="00393B84"/>
    <w:rsid w:val="003E117D"/>
    <w:rsid w:val="003F3A6E"/>
    <w:rsid w:val="00405208"/>
    <w:rsid w:val="004A275D"/>
    <w:rsid w:val="00540682"/>
    <w:rsid w:val="005C3046"/>
    <w:rsid w:val="00674A32"/>
    <w:rsid w:val="00675E58"/>
    <w:rsid w:val="006A323D"/>
    <w:rsid w:val="006E4113"/>
    <w:rsid w:val="0072409E"/>
    <w:rsid w:val="00733AB6"/>
    <w:rsid w:val="007C0CEF"/>
    <w:rsid w:val="00810A0F"/>
    <w:rsid w:val="00832439"/>
    <w:rsid w:val="00854CEC"/>
    <w:rsid w:val="00900BF4"/>
    <w:rsid w:val="00954909"/>
    <w:rsid w:val="0097392F"/>
    <w:rsid w:val="009972F2"/>
    <w:rsid w:val="009E7C0F"/>
    <w:rsid w:val="009F6853"/>
    <w:rsid w:val="00A45C49"/>
    <w:rsid w:val="00AA4F3A"/>
    <w:rsid w:val="00AE1D90"/>
    <w:rsid w:val="00B0633D"/>
    <w:rsid w:val="00B30579"/>
    <w:rsid w:val="00BC4CE4"/>
    <w:rsid w:val="00BD1F44"/>
    <w:rsid w:val="00BF13A9"/>
    <w:rsid w:val="00BF365F"/>
    <w:rsid w:val="00C5752E"/>
    <w:rsid w:val="00C67147"/>
    <w:rsid w:val="00C7451B"/>
    <w:rsid w:val="00C809C0"/>
    <w:rsid w:val="00C83491"/>
    <w:rsid w:val="00CD524A"/>
    <w:rsid w:val="00D4378C"/>
    <w:rsid w:val="00D77035"/>
    <w:rsid w:val="00D93BA1"/>
    <w:rsid w:val="00DC6CD6"/>
    <w:rsid w:val="00DC6F16"/>
    <w:rsid w:val="00DD150A"/>
    <w:rsid w:val="00DE7F0F"/>
    <w:rsid w:val="00DF36C7"/>
    <w:rsid w:val="00DF396F"/>
    <w:rsid w:val="00EC5C9D"/>
    <w:rsid w:val="00EF43B6"/>
    <w:rsid w:val="00EF4A53"/>
    <w:rsid w:val="00EF7DA8"/>
    <w:rsid w:val="00F217A6"/>
    <w:rsid w:val="00F24198"/>
    <w:rsid w:val="00F3356A"/>
    <w:rsid w:val="00F532CB"/>
    <w:rsid w:val="00F65E3B"/>
    <w:rsid w:val="00FA6B6F"/>
    <w:rsid w:val="00FE6A7B"/>
    <w:rsid w:val="00FF00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29A"/>
    <w:rPr>
      <w:sz w:val="0"/>
      <w:szCs w:val="0"/>
    </w:rPr>
  </w:style>
  <w:style w:type="character" w:styleId="Hyperlink">
    <w:name w:val="Hyperlink"/>
    <w:basedOn w:val="DefaultParagraphFont"/>
    <w:uiPriority w:val="99"/>
    <w:rPr>
      <w:rFonts w:cs="Times New Roman"/>
      <w:color w:val="0000FF"/>
      <w:u w:val="single"/>
    </w:rPr>
  </w:style>
  <w:style w:type="character" w:customStyle="1" w:styleId="bionamecap1">
    <w:name w:val="bionamecap1"/>
    <w:basedOn w:val="DefaultParagraphFont"/>
    <w:uiPriority w:val="99"/>
    <w:rsid w:val="00B0633D"/>
    <w:rPr>
      <w:rFonts w:ascii="Arial" w:hAnsi="Arial" w:cs="Arial"/>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verlig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407</Words>
  <Characters>2322</Characters>
  <Application>Microsoft Office Outlook</Application>
  <DocSecurity>0</DocSecurity>
  <Lines>0</Lines>
  <Paragraphs>0</Paragraphs>
  <ScaleCrop>false</ScaleCrop>
  <Company>Design 2,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Bar</dc:title>
  <dc:subject/>
  <dc:creator>Lisa Graham</dc:creator>
  <cp:keywords/>
  <dc:description/>
  <cp:lastModifiedBy>wdillon</cp:lastModifiedBy>
  <cp:revision>2</cp:revision>
  <cp:lastPrinted>2011-04-15T12:32:00Z</cp:lastPrinted>
  <dcterms:created xsi:type="dcterms:W3CDTF">2011-04-21T14:45:00Z</dcterms:created>
  <dcterms:modified xsi:type="dcterms:W3CDTF">2011-04-21T14:45:00Z</dcterms:modified>
</cp:coreProperties>
</file>