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CD" w:rsidRPr="002B4F2E" w:rsidRDefault="00D47BCD" w:rsidP="00D47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August 1</w:t>
      </w:r>
      <w:r w:rsidR="001613F1">
        <w:rPr>
          <w:rFonts w:ascii="Times New Roman" w:hAnsi="Times New Roman" w:cs="Times New Roman"/>
          <w:sz w:val="24"/>
          <w:szCs w:val="24"/>
        </w:rPr>
        <w:t>9</w:t>
      </w:r>
      <w:r w:rsidRPr="002B4F2E">
        <w:rPr>
          <w:rFonts w:ascii="Times New Roman" w:hAnsi="Times New Roman" w:cs="Times New Roman"/>
          <w:sz w:val="24"/>
          <w:szCs w:val="24"/>
        </w:rPr>
        <w:t>, 2016</w:t>
      </w:r>
    </w:p>
    <w:p w:rsidR="00D47BCD" w:rsidRPr="002B4F2E" w:rsidRDefault="00D47BCD" w:rsidP="00D47BCD">
      <w:pPr>
        <w:spacing w:after="0" w:line="240" w:lineRule="auto"/>
        <w:jc w:val="both"/>
        <w:rPr>
          <w:rFonts w:ascii="Times New Roman" w:hAnsi="Times New Roman" w:cs="Times New Roman"/>
          <w:sz w:val="24"/>
          <w:szCs w:val="24"/>
        </w:rPr>
      </w:pPr>
    </w:p>
    <w:p w:rsidR="00D47BCD" w:rsidRPr="002B4F2E" w:rsidRDefault="00D47BCD" w:rsidP="00D47BCD">
      <w:pPr>
        <w:spacing w:after="0" w:line="240" w:lineRule="auto"/>
        <w:jc w:val="both"/>
        <w:rPr>
          <w:rFonts w:ascii="Times New Roman" w:hAnsi="Times New Roman" w:cs="Times New Roman"/>
          <w:sz w:val="24"/>
          <w:szCs w:val="24"/>
        </w:rPr>
      </w:pPr>
      <w:r w:rsidRPr="002B4F2E">
        <w:rPr>
          <w:rFonts w:ascii="Times New Roman" w:hAnsi="Times New Roman" w:cs="Times New Roman"/>
          <w:sz w:val="24"/>
          <w:szCs w:val="24"/>
        </w:rPr>
        <w:t>Dear Health Law Section Members:</w:t>
      </w:r>
      <w:r w:rsidRPr="002B4F2E">
        <w:rPr>
          <w:rFonts w:ascii="Times New Roman" w:hAnsi="Times New Roman" w:cs="Times New Roman"/>
          <w:sz w:val="24"/>
          <w:szCs w:val="24"/>
        </w:rPr>
        <w:tab/>
      </w:r>
      <w:r w:rsidRPr="002B4F2E">
        <w:rPr>
          <w:rFonts w:ascii="Times New Roman" w:hAnsi="Times New Roman" w:cs="Times New Roman"/>
          <w:sz w:val="24"/>
          <w:szCs w:val="24"/>
        </w:rPr>
        <w:tab/>
      </w:r>
      <w:r w:rsidRPr="002B4F2E">
        <w:rPr>
          <w:rFonts w:ascii="Times New Roman" w:hAnsi="Times New Roman" w:cs="Times New Roman"/>
          <w:sz w:val="24"/>
          <w:szCs w:val="24"/>
        </w:rPr>
        <w:tab/>
      </w:r>
      <w:r w:rsidRPr="002B4F2E">
        <w:rPr>
          <w:rFonts w:ascii="Times New Roman" w:hAnsi="Times New Roman" w:cs="Times New Roman"/>
          <w:sz w:val="24"/>
          <w:szCs w:val="24"/>
        </w:rPr>
        <w:tab/>
      </w:r>
      <w:r w:rsidRPr="002B4F2E">
        <w:rPr>
          <w:rFonts w:ascii="Times New Roman" w:hAnsi="Times New Roman" w:cs="Times New Roman"/>
          <w:sz w:val="24"/>
          <w:szCs w:val="24"/>
        </w:rPr>
        <w:tab/>
      </w:r>
    </w:p>
    <w:p w:rsidR="00D47BCD" w:rsidRPr="002B4F2E" w:rsidRDefault="00D47BCD" w:rsidP="00D47BCD">
      <w:pPr>
        <w:spacing w:after="0" w:line="240" w:lineRule="auto"/>
        <w:jc w:val="both"/>
        <w:rPr>
          <w:rFonts w:ascii="Times New Roman" w:hAnsi="Times New Roman" w:cs="Times New Roman"/>
          <w:sz w:val="24"/>
          <w:szCs w:val="24"/>
        </w:rPr>
      </w:pPr>
    </w:p>
    <w:p w:rsidR="001F5FB7" w:rsidRDefault="00D47BCD" w:rsidP="002E0494">
      <w:pPr>
        <w:pStyle w:val="NoSpacing"/>
        <w:jc w:val="both"/>
        <w:rPr>
          <w:rFonts w:ascii="Times New Roman" w:hAnsi="Times New Roman" w:cs="Times New Roman"/>
          <w:sz w:val="24"/>
          <w:szCs w:val="24"/>
        </w:rPr>
      </w:pPr>
      <w:r w:rsidRPr="002B4F2E">
        <w:rPr>
          <w:rFonts w:ascii="Times New Roman" w:hAnsi="Times New Roman" w:cs="Times New Roman"/>
          <w:sz w:val="24"/>
          <w:szCs w:val="24"/>
        </w:rPr>
        <w:t xml:space="preserve">The Section website has been updated with the </w:t>
      </w:r>
      <w:r>
        <w:rPr>
          <w:rFonts w:ascii="Times New Roman" w:hAnsi="Times New Roman" w:cs="Times New Roman"/>
          <w:sz w:val="24"/>
          <w:szCs w:val="24"/>
        </w:rPr>
        <w:t>June-July</w:t>
      </w:r>
      <w:r w:rsidRPr="002B4F2E">
        <w:rPr>
          <w:rFonts w:ascii="Times New Roman" w:hAnsi="Times New Roman" w:cs="Times New Roman"/>
          <w:sz w:val="24"/>
          <w:szCs w:val="24"/>
        </w:rPr>
        <w:t xml:space="preserve"> 2016 articles on significant developments in the health law arena that may be of interest to you in your practice. These summaries are presented to Section members for general information only and do not constitute legal advice from The Florida Bar, its Health Law Section, </w:t>
      </w:r>
      <w:r w:rsidRPr="00120FE6">
        <w:rPr>
          <w:rFonts w:ascii="Times New Roman" w:hAnsi="Times New Roman" w:cs="Times New Roman"/>
          <w:sz w:val="24"/>
          <w:szCs w:val="24"/>
        </w:rPr>
        <w:t xml:space="preserve">or </w:t>
      </w:r>
      <w:r w:rsidR="00B263FA" w:rsidRPr="00120FE6">
        <w:rPr>
          <w:rFonts w:ascii="Times New Roman" w:hAnsi="Times New Roman" w:cs="Times New Roman"/>
          <w:sz w:val="24"/>
          <w:szCs w:val="24"/>
        </w:rPr>
        <w:t>the authors of these summaries</w:t>
      </w:r>
      <w:r w:rsidRPr="002B4F2E">
        <w:rPr>
          <w:rFonts w:ascii="Times New Roman" w:hAnsi="Times New Roman" w:cs="Times New Roman"/>
          <w:sz w:val="24"/>
          <w:szCs w:val="24"/>
        </w:rPr>
        <w:t xml:space="preserve">. </w:t>
      </w:r>
      <w:r w:rsidR="001F5FB7">
        <w:rPr>
          <w:rFonts w:ascii="Times New Roman" w:hAnsi="Times New Roman" w:cs="Times New Roman"/>
          <w:sz w:val="24"/>
          <w:szCs w:val="24"/>
        </w:rPr>
        <w:t>You will note that there are two summ</w:t>
      </w:r>
      <w:r w:rsidR="002E0494">
        <w:rPr>
          <w:rFonts w:ascii="Times New Roman" w:hAnsi="Times New Roman" w:cs="Times New Roman"/>
          <w:sz w:val="24"/>
          <w:szCs w:val="24"/>
        </w:rPr>
        <w:t xml:space="preserve">aries regarding the U.S. Supreme Court opinion in </w:t>
      </w:r>
      <w:r w:rsidR="002E0494" w:rsidRPr="002A6A08">
        <w:rPr>
          <w:rFonts w:ascii="Times New Roman" w:hAnsi="Times New Roman" w:cs="Times New Roman"/>
          <w:i/>
          <w:sz w:val="24"/>
          <w:szCs w:val="24"/>
        </w:rPr>
        <w:t xml:space="preserve">United Health Services v. United States ex rel. Escobar, </w:t>
      </w:r>
      <w:r w:rsidR="002E0494" w:rsidRPr="002A6A08">
        <w:rPr>
          <w:rFonts w:ascii="Times New Roman" w:hAnsi="Times New Roman" w:cs="Times New Roman"/>
          <w:sz w:val="24"/>
          <w:szCs w:val="24"/>
        </w:rPr>
        <w:t>No. 157, slip op. (U.S. June 16, 2016)</w:t>
      </w:r>
      <w:r w:rsidR="001F5FB7">
        <w:rPr>
          <w:rFonts w:ascii="Times New Roman" w:hAnsi="Times New Roman" w:cs="Times New Roman"/>
          <w:sz w:val="24"/>
          <w:szCs w:val="24"/>
        </w:rPr>
        <w:t>.   Considering the significance of this opinion, we have chosen to publish both summaries</w:t>
      </w:r>
      <w:r w:rsidR="002E0494">
        <w:rPr>
          <w:rFonts w:ascii="Times New Roman" w:hAnsi="Times New Roman" w:cs="Times New Roman"/>
          <w:sz w:val="24"/>
          <w:szCs w:val="24"/>
        </w:rPr>
        <w:t xml:space="preserve">.  </w:t>
      </w:r>
      <w:bookmarkStart w:id="0" w:name="_GoBack"/>
      <w:bookmarkEnd w:id="0"/>
    </w:p>
    <w:p w:rsidR="001F5FB7" w:rsidRDefault="001F5FB7" w:rsidP="00D47BCD">
      <w:pPr>
        <w:spacing w:after="0" w:line="240" w:lineRule="auto"/>
        <w:jc w:val="both"/>
        <w:rPr>
          <w:rFonts w:ascii="Times New Roman" w:hAnsi="Times New Roman" w:cs="Times New Roman"/>
          <w:sz w:val="24"/>
          <w:szCs w:val="24"/>
        </w:rPr>
      </w:pPr>
    </w:p>
    <w:p w:rsidR="00D47BCD" w:rsidRPr="002B4F2E" w:rsidRDefault="00D47BCD" w:rsidP="00D47BCD">
      <w:pPr>
        <w:spacing w:after="0" w:line="240" w:lineRule="auto"/>
        <w:jc w:val="both"/>
        <w:rPr>
          <w:rFonts w:ascii="Times New Roman" w:hAnsi="Times New Roman" w:cs="Times New Roman"/>
          <w:sz w:val="24"/>
          <w:szCs w:val="24"/>
        </w:rPr>
      </w:pPr>
      <w:r w:rsidRPr="002B4F2E">
        <w:rPr>
          <w:rFonts w:ascii="Times New Roman" w:hAnsi="Times New Roman" w:cs="Times New Roman"/>
          <w:sz w:val="24"/>
          <w:szCs w:val="24"/>
        </w:rPr>
        <w:t>HLS thanks the following volunteers who have generously donated their time to prepare these summaries for our members:</w:t>
      </w:r>
    </w:p>
    <w:p w:rsidR="00D47BCD" w:rsidRPr="002B4F2E" w:rsidRDefault="00D47BCD" w:rsidP="00D47BCD">
      <w:pPr>
        <w:spacing w:after="0" w:line="240" w:lineRule="auto"/>
        <w:jc w:val="both"/>
        <w:rPr>
          <w:rFonts w:ascii="Times New Roman" w:hAnsi="Times New Roman" w:cs="Times New Roman"/>
          <w:sz w:val="24"/>
          <w:szCs w:val="24"/>
        </w:rPr>
      </w:pPr>
    </w:p>
    <w:p w:rsidR="00D47BCD" w:rsidRDefault="00D47BCD" w:rsidP="00C64F37">
      <w:pPr>
        <w:spacing w:after="0" w:line="360" w:lineRule="auto"/>
        <w:ind w:firstLine="720"/>
        <w:jc w:val="both"/>
        <w:rPr>
          <w:rFonts w:ascii="Times New Roman" w:eastAsia="Times New Roman" w:hAnsi="Times New Roman" w:cs="Times New Roman"/>
          <w:b/>
          <w:color w:val="000000"/>
          <w:sz w:val="24"/>
          <w:szCs w:val="24"/>
        </w:rPr>
      </w:pPr>
      <w:r w:rsidRPr="00B263FA">
        <w:rPr>
          <w:rFonts w:ascii="Times New Roman" w:eastAsia="Times New Roman" w:hAnsi="Times New Roman" w:cs="Times New Roman"/>
          <w:b/>
          <w:color w:val="000000"/>
          <w:sz w:val="24"/>
          <w:szCs w:val="24"/>
        </w:rPr>
        <w:t>Lindsay Do</w:t>
      </w:r>
      <w:r w:rsidR="00C64F37" w:rsidRPr="00B263FA">
        <w:rPr>
          <w:rFonts w:ascii="Times New Roman" w:eastAsia="Times New Roman" w:hAnsi="Times New Roman" w:cs="Times New Roman"/>
          <w:b/>
          <w:color w:val="000000"/>
          <w:sz w:val="24"/>
          <w:szCs w:val="24"/>
        </w:rPr>
        <w:t>sen, Esq.</w:t>
      </w:r>
    </w:p>
    <w:p w:rsidR="00C64F37" w:rsidRPr="001726E8" w:rsidRDefault="00D47BCD" w:rsidP="00C64F37">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Jaime </w:t>
      </w:r>
      <w:r w:rsidR="00712A0B">
        <w:rPr>
          <w:rFonts w:ascii="Times New Roman" w:hAnsi="Times New Roman" w:cs="Times New Roman"/>
          <w:b/>
          <w:bCs/>
          <w:sz w:val="24"/>
          <w:szCs w:val="24"/>
        </w:rPr>
        <w:t xml:space="preserve">B. </w:t>
      </w:r>
      <w:r w:rsidRPr="001726E8">
        <w:rPr>
          <w:rFonts w:ascii="Times New Roman" w:hAnsi="Times New Roman" w:cs="Times New Roman"/>
          <w:b/>
          <w:bCs/>
          <w:sz w:val="24"/>
          <w:szCs w:val="24"/>
        </w:rPr>
        <w:t>Gelfman, Esq.</w:t>
      </w:r>
    </w:p>
    <w:p w:rsidR="00D47BCD" w:rsidRPr="001726E8" w:rsidRDefault="00C64F37" w:rsidP="00C64F37">
      <w:pPr>
        <w:spacing w:after="0" w:line="360" w:lineRule="auto"/>
        <w:ind w:firstLine="720"/>
        <w:jc w:val="both"/>
        <w:rPr>
          <w:rFonts w:ascii="Times New Roman" w:hAnsi="Times New Roman" w:cs="Times New Roman"/>
          <w:b/>
          <w:sz w:val="24"/>
          <w:szCs w:val="24"/>
        </w:rPr>
      </w:pPr>
      <w:r w:rsidRPr="001726E8">
        <w:rPr>
          <w:rFonts w:ascii="Times New Roman" w:hAnsi="Times New Roman" w:cs="Times New Roman"/>
          <w:b/>
          <w:sz w:val="24"/>
          <w:szCs w:val="24"/>
        </w:rPr>
        <w:t>Matt Henderson, Esq.</w:t>
      </w:r>
    </w:p>
    <w:p w:rsidR="00C64F37" w:rsidRPr="001726E8" w:rsidRDefault="00D47BCD" w:rsidP="00C64F37">
      <w:pPr>
        <w:spacing w:after="0" w:line="360" w:lineRule="auto"/>
        <w:ind w:firstLine="720"/>
        <w:jc w:val="both"/>
        <w:rPr>
          <w:rFonts w:ascii="Times New Roman" w:hAnsi="Times New Roman" w:cs="Times New Roman"/>
          <w:b/>
          <w:sz w:val="24"/>
          <w:szCs w:val="24"/>
        </w:rPr>
      </w:pPr>
      <w:r w:rsidRPr="001726E8">
        <w:rPr>
          <w:rFonts w:ascii="Times New Roman" w:hAnsi="Times New Roman" w:cs="Times New Roman"/>
          <w:b/>
          <w:sz w:val="24"/>
          <w:szCs w:val="24"/>
        </w:rPr>
        <w:t>Rodney Johnson, Esq.</w:t>
      </w:r>
    </w:p>
    <w:p w:rsidR="00C64F37" w:rsidRPr="001726E8" w:rsidRDefault="00C64F37" w:rsidP="00C64F37">
      <w:pPr>
        <w:spacing w:after="0" w:line="360" w:lineRule="auto"/>
        <w:ind w:firstLine="720"/>
        <w:jc w:val="both"/>
        <w:rPr>
          <w:rFonts w:ascii="Times New Roman" w:hAnsi="Times New Roman" w:cs="Times New Roman"/>
          <w:b/>
          <w:sz w:val="24"/>
          <w:szCs w:val="24"/>
        </w:rPr>
      </w:pPr>
      <w:r w:rsidRPr="001726E8">
        <w:rPr>
          <w:rFonts w:ascii="Times New Roman" w:hAnsi="Times New Roman" w:cs="Times New Roman"/>
          <w:b/>
          <w:sz w:val="24"/>
          <w:szCs w:val="24"/>
        </w:rPr>
        <w:t>Jeffrey Mustari, Esq.</w:t>
      </w:r>
    </w:p>
    <w:p w:rsidR="00C64F37" w:rsidRPr="001726E8" w:rsidRDefault="00C64F37" w:rsidP="00C64F37">
      <w:pPr>
        <w:spacing w:after="0" w:line="360" w:lineRule="auto"/>
        <w:ind w:firstLine="720"/>
        <w:jc w:val="both"/>
        <w:rPr>
          <w:rFonts w:ascii="Times New Roman" w:hAnsi="Times New Roman" w:cs="Times New Roman"/>
          <w:b/>
          <w:sz w:val="24"/>
          <w:szCs w:val="24"/>
        </w:rPr>
      </w:pPr>
      <w:r w:rsidRPr="001726E8">
        <w:rPr>
          <w:rFonts w:ascii="Times New Roman" w:hAnsi="Times New Roman" w:cs="Times New Roman"/>
          <w:b/>
          <w:sz w:val="24"/>
          <w:szCs w:val="24"/>
        </w:rPr>
        <w:t>Anelia Shaheed, Esq.</w:t>
      </w:r>
    </w:p>
    <w:p w:rsidR="00C64F37" w:rsidRPr="0088548D" w:rsidRDefault="00C64F37" w:rsidP="00C64F37">
      <w:pPr>
        <w:spacing w:after="0" w:line="360" w:lineRule="auto"/>
        <w:ind w:firstLine="720"/>
        <w:jc w:val="both"/>
        <w:rPr>
          <w:rFonts w:ascii="Times New Roman" w:hAnsi="Times New Roman" w:cs="Times New Roman"/>
          <w:b/>
          <w:sz w:val="24"/>
          <w:szCs w:val="24"/>
        </w:rPr>
      </w:pPr>
      <w:r w:rsidRPr="001726E8">
        <w:rPr>
          <w:rFonts w:ascii="Times New Roman" w:hAnsi="Times New Roman" w:cs="Times New Roman"/>
          <w:b/>
          <w:sz w:val="24"/>
          <w:szCs w:val="24"/>
        </w:rPr>
        <w:t>Michael L. Smith, Esq</w:t>
      </w:r>
    </w:p>
    <w:p w:rsidR="00D47BCD" w:rsidRPr="0088548D" w:rsidRDefault="00D47BCD" w:rsidP="00D47BCD">
      <w:pPr>
        <w:spacing w:after="0" w:line="240" w:lineRule="auto"/>
        <w:ind w:firstLine="720"/>
        <w:jc w:val="both"/>
        <w:rPr>
          <w:rFonts w:ascii="Times New Roman" w:hAnsi="Times New Roman" w:cs="Times New Roman"/>
          <w:b/>
          <w:sz w:val="24"/>
          <w:szCs w:val="24"/>
        </w:rPr>
      </w:pPr>
    </w:p>
    <w:p w:rsidR="00D47BCD" w:rsidRPr="0088548D" w:rsidRDefault="00D47BCD" w:rsidP="00D47BCD">
      <w:pPr>
        <w:spacing w:after="0" w:line="240" w:lineRule="auto"/>
        <w:jc w:val="both"/>
        <w:rPr>
          <w:rFonts w:ascii="Times New Roman" w:hAnsi="Times New Roman" w:cs="Times New Roman"/>
          <w:b/>
          <w:sz w:val="24"/>
          <w:szCs w:val="24"/>
        </w:rPr>
      </w:pPr>
      <w:r w:rsidRPr="0088548D">
        <w:rPr>
          <w:rFonts w:ascii="Times New Roman" w:hAnsi="Times New Roman" w:cs="Times New Roman"/>
          <w:b/>
          <w:sz w:val="24"/>
          <w:szCs w:val="24"/>
        </w:rPr>
        <w:tab/>
      </w:r>
    </w:p>
    <w:p w:rsidR="00D47BCD" w:rsidRPr="002B4F2E" w:rsidRDefault="00D47BCD" w:rsidP="00D47BCD">
      <w:pPr>
        <w:spacing w:after="0" w:line="240" w:lineRule="auto"/>
        <w:jc w:val="both"/>
        <w:rPr>
          <w:rFonts w:ascii="Times New Roman" w:hAnsi="Times New Roman" w:cs="Times New Roman"/>
          <w:sz w:val="24"/>
          <w:szCs w:val="24"/>
        </w:rPr>
      </w:pPr>
      <w:r w:rsidRPr="002B4F2E">
        <w:rPr>
          <w:rFonts w:ascii="Times New Roman" w:hAnsi="Times New Roman" w:cs="Times New Roman"/>
          <w:sz w:val="24"/>
          <w:szCs w:val="24"/>
        </w:rPr>
        <w:t>Thank you.</w:t>
      </w:r>
    </w:p>
    <w:p w:rsidR="00D47BCD" w:rsidRPr="002B4F2E" w:rsidRDefault="00D47BCD" w:rsidP="00D47BCD">
      <w:pPr>
        <w:spacing w:after="0" w:line="240" w:lineRule="auto"/>
        <w:jc w:val="both"/>
        <w:rPr>
          <w:rFonts w:ascii="Times New Roman" w:hAnsi="Times New Roman" w:cs="Times New Roman"/>
          <w:b/>
          <w:sz w:val="24"/>
          <w:szCs w:val="24"/>
        </w:rPr>
      </w:pPr>
    </w:p>
    <w:p w:rsidR="00E032FE" w:rsidRPr="009E0464" w:rsidRDefault="00D47BCD" w:rsidP="00D47BCD">
      <w:pPr>
        <w:spacing w:after="0" w:line="240" w:lineRule="auto"/>
        <w:jc w:val="both"/>
        <w:rPr>
          <w:rFonts w:ascii="Times New Roman" w:hAnsi="Times New Roman" w:cs="Times New Roman"/>
          <w:b/>
          <w:sz w:val="24"/>
          <w:szCs w:val="24"/>
          <w:lang w:val="es-PE"/>
        </w:rPr>
      </w:pPr>
      <w:r w:rsidRPr="009E0464">
        <w:rPr>
          <w:rFonts w:ascii="Times New Roman" w:hAnsi="Times New Roman" w:cs="Times New Roman"/>
          <w:b/>
          <w:sz w:val="24"/>
          <w:szCs w:val="24"/>
          <w:lang w:val="es-PE"/>
        </w:rPr>
        <w:t>Malinda Lugo</w:t>
      </w:r>
      <w:r w:rsidR="009E0464" w:rsidRPr="009E0464">
        <w:rPr>
          <w:rFonts w:ascii="Times New Roman" w:hAnsi="Times New Roman" w:cs="Times New Roman"/>
          <w:b/>
          <w:sz w:val="24"/>
          <w:szCs w:val="24"/>
          <w:lang w:val="es-PE"/>
        </w:rPr>
        <w:t xml:space="preserve">, Esq. </w:t>
      </w:r>
      <w:r w:rsidR="00E032FE" w:rsidRPr="009E0464">
        <w:rPr>
          <w:rFonts w:ascii="Times New Roman" w:hAnsi="Times New Roman" w:cs="Times New Roman"/>
          <w:b/>
          <w:sz w:val="24"/>
          <w:szCs w:val="24"/>
          <w:lang w:val="es-PE"/>
        </w:rPr>
        <w:t xml:space="preserve"> </w:t>
      </w:r>
    </w:p>
    <w:p w:rsidR="0088548D" w:rsidRPr="009E0464" w:rsidRDefault="0088548D" w:rsidP="00D47BCD">
      <w:pPr>
        <w:spacing w:after="0" w:line="240" w:lineRule="auto"/>
        <w:jc w:val="both"/>
        <w:rPr>
          <w:rFonts w:ascii="Times New Roman" w:hAnsi="Times New Roman" w:cs="Times New Roman"/>
          <w:b/>
          <w:sz w:val="24"/>
          <w:szCs w:val="24"/>
          <w:lang w:val="es-PE"/>
        </w:rPr>
      </w:pPr>
      <w:r w:rsidRPr="009E0464">
        <w:rPr>
          <w:rFonts w:ascii="Times New Roman" w:hAnsi="Times New Roman" w:cs="Times New Roman"/>
          <w:b/>
          <w:sz w:val="24"/>
          <w:szCs w:val="24"/>
          <w:lang w:val="es-PE"/>
        </w:rPr>
        <w:t>Kimberly Sullivan</w:t>
      </w:r>
      <w:r w:rsidR="009E0464" w:rsidRPr="009E0464">
        <w:rPr>
          <w:rFonts w:ascii="Times New Roman" w:hAnsi="Times New Roman" w:cs="Times New Roman"/>
          <w:b/>
          <w:sz w:val="24"/>
          <w:szCs w:val="24"/>
          <w:lang w:val="es-PE"/>
        </w:rPr>
        <w:t xml:space="preserve">, Esq. </w:t>
      </w:r>
      <w:r w:rsidRPr="009E0464">
        <w:rPr>
          <w:rFonts w:ascii="Times New Roman" w:hAnsi="Times New Roman" w:cs="Times New Roman"/>
          <w:b/>
          <w:sz w:val="24"/>
          <w:szCs w:val="24"/>
          <w:lang w:val="es-PE"/>
        </w:rPr>
        <w:t xml:space="preserve"> </w:t>
      </w:r>
    </w:p>
    <w:p w:rsidR="00D47BCD" w:rsidRPr="009E0464" w:rsidRDefault="00D47BCD">
      <w:pPr>
        <w:rPr>
          <w:rFonts w:ascii="Times New Roman" w:hAnsi="Times New Roman" w:cs="Times New Roman"/>
          <w:b/>
          <w:sz w:val="24"/>
          <w:szCs w:val="24"/>
          <w:u w:val="single"/>
          <w:lang w:val="es-PE"/>
        </w:rPr>
      </w:pPr>
      <w:r w:rsidRPr="009E0464">
        <w:rPr>
          <w:rFonts w:ascii="Times New Roman" w:hAnsi="Times New Roman" w:cs="Times New Roman"/>
          <w:b/>
          <w:sz w:val="24"/>
          <w:szCs w:val="24"/>
          <w:u w:val="single"/>
          <w:lang w:val="es-PE"/>
        </w:rPr>
        <w:br w:type="page"/>
      </w:r>
    </w:p>
    <w:p w:rsidR="001F5FB7" w:rsidRPr="00C64F37" w:rsidRDefault="001F5FB7" w:rsidP="00C64F37">
      <w:pPr>
        <w:pStyle w:val="NoSpacing"/>
        <w:jc w:val="center"/>
        <w:rPr>
          <w:rFonts w:ascii="Times New Roman" w:hAnsi="Times New Roman" w:cs="Times New Roman"/>
          <w:b/>
          <w:sz w:val="28"/>
          <w:szCs w:val="28"/>
        </w:rPr>
      </w:pPr>
      <w:r w:rsidRPr="00013B29">
        <w:rPr>
          <w:rFonts w:ascii="Times New Roman" w:hAnsi="Times New Roman" w:cs="Times New Roman"/>
          <w:b/>
          <w:sz w:val="28"/>
          <w:szCs w:val="28"/>
        </w:rPr>
        <w:lastRenderedPageBreak/>
        <w:t>COMPLIANCE</w:t>
      </w:r>
    </w:p>
    <w:p w:rsidR="001F5FB7" w:rsidRDefault="001F5FB7" w:rsidP="00814569">
      <w:pPr>
        <w:pStyle w:val="NoSpacing"/>
        <w:jc w:val="center"/>
        <w:rPr>
          <w:rFonts w:ascii="Times New Roman" w:hAnsi="Times New Roman" w:cs="Times New Roman"/>
          <w:b/>
          <w:sz w:val="24"/>
          <w:szCs w:val="24"/>
          <w:u w:val="single"/>
        </w:rPr>
      </w:pPr>
    </w:p>
    <w:p w:rsidR="00CA36CD" w:rsidRPr="00120FE6" w:rsidRDefault="00814569" w:rsidP="001F5FB7">
      <w:pPr>
        <w:pStyle w:val="NoSpacing"/>
        <w:rPr>
          <w:rFonts w:ascii="Times New Roman" w:hAnsi="Times New Roman" w:cs="Times New Roman"/>
          <w:b/>
          <w:u w:val="single"/>
        </w:rPr>
      </w:pPr>
      <w:r w:rsidRPr="00120FE6">
        <w:rPr>
          <w:rFonts w:ascii="Times New Roman" w:hAnsi="Times New Roman" w:cs="Times New Roman"/>
          <w:b/>
          <w:u w:val="single"/>
        </w:rPr>
        <w:t>Supreme Court Recognizes Implied Ce</w:t>
      </w:r>
      <w:r w:rsidR="001F5FB7" w:rsidRPr="00120FE6">
        <w:rPr>
          <w:rFonts w:ascii="Times New Roman" w:hAnsi="Times New Roman" w:cs="Times New Roman"/>
          <w:b/>
          <w:u w:val="single"/>
        </w:rPr>
        <w:t xml:space="preserve">rtification Theory of Liability </w:t>
      </w:r>
      <w:r w:rsidRPr="00120FE6">
        <w:rPr>
          <w:rFonts w:ascii="Times New Roman" w:hAnsi="Times New Roman" w:cs="Times New Roman"/>
          <w:b/>
          <w:u w:val="single"/>
        </w:rPr>
        <w:t>Under the False Claims Act</w:t>
      </w:r>
    </w:p>
    <w:p w:rsidR="00814569" w:rsidRPr="002A6A08" w:rsidRDefault="00814569" w:rsidP="00814569">
      <w:pPr>
        <w:pStyle w:val="NoSpacing"/>
        <w:jc w:val="center"/>
        <w:rPr>
          <w:rFonts w:ascii="Times New Roman" w:hAnsi="Times New Roman" w:cs="Times New Roman"/>
          <w:sz w:val="24"/>
          <w:szCs w:val="24"/>
        </w:rPr>
      </w:pPr>
    </w:p>
    <w:p w:rsidR="00814569" w:rsidRPr="002A6A08" w:rsidRDefault="003109C5" w:rsidP="002A6A08">
      <w:pPr>
        <w:pStyle w:val="NoSpacing"/>
        <w:jc w:val="both"/>
        <w:rPr>
          <w:rFonts w:ascii="Times New Roman" w:hAnsi="Times New Roman" w:cs="Times New Roman"/>
          <w:sz w:val="24"/>
          <w:szCs w:val="24"/>
        </w:rPr>
      </w:pPr>
      <w:r w:rsidRPr="002A6A08">
        <w:rPr>
          <w:rFonts w:ascii="Times New Roman" w:hAnsi="Times New Roman" w:cs="Times New Roman"/>
          <w:sz w:val="24"/>
          <w:szCs w:val="24"/>
        </w:rPr>
        <w:t xml:space="preserve">On Thursday, June 16, 2016, the United States Supreme Court finally issued its decision as to whether it would recognize the validity of the implied certification theory of liability under the False Claims Act (“FCA”), in </w:t>
      </w:r>
      <w:r w:rsidRPr="002A6A08">
        <w:rPr>
          <w:rFonts w:ascii="Times New Roman" w:hAnsi="Times New Roman" w:cs="Times New Roman"/>
          <w:i/>
          <w:sz w:val="24"/>
          <w:szCs w:val="24"/>
        </w:rPr>
        <w:t xml:space="preserve">United Health Services v. United States ex rel. Escobar, </w:t>
      </w:r>
      <w:r w:rsidRPr="002A6A08">
        <w:rPr>
          <w:rFonts w:ascii="Times New Roman" w:hAnsi="Times New Roman" w:cs="Times New Roman"/>
          <w:sz w:val="24"/>
          <w:szCs w:val="24"/>
        </w:rPr>
        <w:t>No. 157, slip op. (U.S. June 16, 2016)</w:t>
      </w:r>
      <w:r w:rsidR="00B90CF9" w:rsidRPr="002A6A08">
        <w:rPr>
          <w:rFonts w:ascii="Times New Roman" w:hAnsi="Times New Roman" w:cs="Times New Roman"/>
          <w:sz w:val="24"/>
          <w:szCs w:val="24"/>
        </w:rPr>
        <w:t>.</w:t>
      </w:r>
    </w:p>
    <w:p w:rsidR="003109C5" w:rsidRPr="002A6A08" w:rsidRDefault="003109C5" w:rsidP="002A6A08">
      <w:pPr>
        <w:pStyle w:val="NoSpacing"/>
        <w:jc w:val="both"/>
        <w:rPr>
          <w:rFonts w:ascii="Times New Roman" w:hAnsi="Times New Roman" w:cs="Times New Roman"/>
          <w:sz w:val="24"/>
          <w:szCs w:val="24"/>
        </w:rPr>
      </w:pPr>
    </w:p>
    <w:p w:rsidR="00B92924" w:rsidRPr="002A6A08" w:rsidRDefault="003109C5" w:rsidP="002A6A08">
      <w:pPr>
        <w:pStyle w:val="NoSpacing"/>
        <w:jc w:val="both"/>
        <w:rPr>
          <w:rFonts w:ascii="Times New Roman" w:hAnsi="Times New Roman" w:cs="Times New Roman"/>
          <w:sz w:val="24"/>
          <w:szCs w:val="24"/>
        </w:rPr>
      </w:pPr>
      <w:r w:rsidRPr="002A6A08">
        <w:rPr>
          <w:rFonts w:ascii="Times New Roman" w:hAnsi="Times New Roman" w:cs="Times New Roman"/>
          <w:sz w:val="24"/>
          <w:szCs w:val="24"/>
        </w:rPr>
        <w:t xml:space="preserve">Under the implied certification theory, a party may be held liable for violating the FCA where that party has made a request for payment notwithstanding its noncompliance with applicable statutes, regulations or contract provisions that are material requisites to such payment. </w:t>
      </w:r>
      <w:r w:rsidR="00B92924" w:rsidRPr="002A6A08">
        <w:rPr>
          <w:rFonts w:ascii="Times New Roman" w:hAnsi="Times New Roman" w:cs="Times New Roman"/>
          <w:sz w:val="24"/>
          <w:szCs w:val="24"/>
        </w:rPr>
        <w:t xml:space="preserve">In other words, when a provider submits a claim for reimbursement, he or she is implicitly representing that no prerequisites for payment have been violated.  As such, if a provider fails to disclose an underlying violation, the claim for reimbursement is rendered “false” under the FCA. </w:t>
      </w:r>
    </w:p>
    <w:p w:rsidR="00B92924" w:rsidRPr="002A6A08" w:rsidRDefault="00B92924" w:rsidP="002A6A08">
      <w:pPr>
        <w:pStyle w:val="NoSpacing"/>
        <w:jc w:val="both"/>
        <w:rPr>
          <w:rFonts w:ascii="Times New Roman" w:hAnsi="Times New Roman" w:cs="Times New Roman"/>
          <w:sz w:val="24"/>
          <w:szCs w:val="24"/>
        </w:rPr>
      </w:pPr>
    </w:p>
    <w:p w:rsidR="003109C5" w:rsidRPr="002A6A08" w:rsidRDefault="003109C5" w:rsidP="002A6A08">
      <w:pPr>
        <w:pStyle w:val="NoSpacing"/>
        <w:jc w:val="both"/>
        <w:rPr>
          <w:rFonts w:ascii="Times New Roman" w:hAnsi="Times New Roman" w:cs="Times New Roman"/>
          <w:sz w:val="24"/>
          <w:szCs w:val="24"/>
        </w:rPr>
      </w:pPr>
      <w:r w:rsidRPr="002A6A08">
        <w:rPr>
          <w:rFonts w:ascii="Times New Roman" w:hAnsi="Times New Roman" w:cs="Times New Roman"/>
          <w:sz w:val="24"/>
          <w:szCs w:val="24"/>
        </w:rPr>
        <w:t xml:space="preserve">The precursor to </w:t>
      </w:r>
      <w:r w:rsidRPr="002A6A08">
        <w:rPr>
          <w:rFonts w:ascii="Times New Roman" w:hAnsi="Times New Roman" w:cs="Times New Roman"/>
          <w:i/>
          <w:sz w:val="24"/>
          <w:szCs w:val="24"/>
        </w:rPr>
        <w:t>Escobar</w:t>
      </w:r>
      <w:r w:rsidRPr="002A6A08">
        <w:rPr>
          <w:rFonts w:ascii="Times New Roman" w:hAnsi="Times New Roman" w:cs="Times New Roman"/>
          <w:sz w:val="24"/>
          <w:szCs w:val="24"/>
        </w:rPr>
        <w:t xml:space="preserve"> was a result of a circuit split with respect to the application of the implied certification theory, as some circuits rejected the theory, holding that only express falsehoods can render a claim false or </w:t>
      </w:r>
      <w:r w:rsidR="00BF2C34" w:rsidRPr="002A6A08">
        <w:rPr>
          <w:rFonts w:ascii="Times New Roman" w:hAnsi="Times New Roman" w:cs="Times New Roman"/>
          <w:sz w:val="24"/>
          <w:szCs w:val="24"/>
        </w:rPr>
        <w:t>fraudulent</w:t>
      </w:r>
      <w:r w:rsidRPr="002A6A08">
        <w:rPr>
          <w:rFonts w:ascii="Times New Roman" w:hAnsi="Times New Roman" w:cs="Times New Roman"/>
          <w:sz w:val="24"/>
          <w:szCs w:val="24"/>
        </w:rPr>
        <w:t xml:space="preserve">, </w:t>
      </w:r>
      <w:r w:rsidR="006B6871" w:rsidRPr="002A6A08">
        <w:rPr>
          <w:rFonts w:ascii="Times New Roman" w:hAnsi="Times New Roman" w:cs="Times New Roman"/>
          <w:sz w:val="24"/>
          <w:szCs w:val="24"/>
        </w:rPr>
        <w:t>while</w:t>
      </w:r>
      <w:r w:rsidRPr="002A6A08">
        <w:rPr>
          <w:rFonts w:ascii="Times New Roman" w:hAnsi="Times New Roman" w:cs="Times New Roman"/>
          <w:sz w:val="24"/>
          <w:szCs w:val="24"/>
        </w:rPr>
        <w:t xml:space="preserve"> othe</w:t>
      </w:r>
      <w:r w:rsidR="006B6871" w:rsidRPr="002A6A08">
        <w:rPr>
          <w:rFonts w:ascii="Times New Roman" w:hAnsi="Times New Roman" w:cs="Times New Roman"/>
          <w:sz w:val="24"/>
          <w:szCs w:val="24"/>
        </w:rPr>
        <w:t>r circuit</w:t>
      </w:r>
      <w:r w:rsidRPr="002A6A08">
        <w:rPr>
          <w:rFonts w:ascii="Times New Roman" w:hAnsi="Times New Roman" w:cs="Times New Roman"/>
          <w:sz w:val="24"/>
          <w:szCs w:val="24"/>
        </w:rPr>
        <w:t>s adopted the theory</w:t>
      </w:r>
      <w:r w:rsidR="00BF2C34" w:rsidRPr="002A6A08">
        <w:rPr>
          <w:rFonts w:ascii="Times New Roman" w:hAnsi="Times New Roman" w:cs="Times New Roman"/>
          <w:sz w:val="24"/>
          <w:szCs w:val="24"/>
        </w:rPr>
        <w:t xml:space="preserve">, but </w:t>
      </w:r>
      <w:r w:rsidR="006B6871" w:rsidRPr="002A6A08">
        <w:rPr>
          <w:rFonts w:ascii="Times New Roman" w:hAnsi="Times New Roman" w:cs="Times New Roman"/>
          <w:sz w:val="24"/>
          <w:szCs w:val="24"/>
        </w:rPr>
        <w:t xml:space="preserve">applied the theory inconsistently. </w:t>
      </w:r>
      <w:r w:rsidR="00315122" w:rsidRPr="002A6A08">
        <w:rPr>
          <w:rFonts w:ascii="Times New Roman" w:hAnsi="Times New Roman" w:cs="Times New Roman"/>
          <w:sz w:val="24"/>
          <w:szCs w:val="24"/>
        </w:rPr>
        <w:t xml:space="preserve"> Specifically, with respect to the circuits that accept the theory, there is a differing in opinion as to whether a “condition of payment” must be expressly identified as such, or whether a statute, regulation or contractual provision can be “condition of payment” even if it does not state that payment is conditioned on compliance.  </w:t>
      </w:r>
      <w:r w:rsidR="00315122" w:rsidRPr="002A6A08">
        <w:rPr>
          <w:rFonts w:ascii="Times New Roman" w:hAnsi="Times New Roman" w:cs="Times New Roman"/>
          <w:i/>
          <w:sz w:val="24"/>
          <w:szCs w:val="24"/>
        </w:rPr>
        <w:t>See</w:t>
      </w:r>
      <w:r w:rsidR="00315122" w:rsidRPr="002A6A08">
        <w:rPr>
          <w:rFonts w:ascii="Times New Roman" w:hAnsi="Times New Roman" w:cs="Times New Roman"/>
          <w:sz w:val="24"/>
          <w:szCs w:val="24"/>
        </w:rPr>
        <w:t xml:space="preserve"> Petition for Writ of Certiorari at *3, </w:t>
      </w:r>
      <w:r w:rsidR="00315122" w:rsidRPr="002A6A08">
        <w:rPr>
          <w:rFonts w:ascii="Times New Roman" w:hAnsi="Times New Roman" w:cs="Times New Roman"/>
          <w:i/>
          <w:sz w:val="24"/>
          <w:szCs w:val="24"/>
        </w:rPr>
        <w:t>Universal Health Servs., Inc.</w:t>
      </w:r>
      <w:r w:rsidR="00315122" w:rsidRPr="002A6A08">
        <w:rPr>
          <w:rFonts w:ascii="Times New Roman" w:hAnsi="Times New Roman" w:cs="Times New Roman"/>
          <w:sz w:val="24"/>
          <w:szCs w:val="24"/>
        </w:rPr>
        <w:t xml:space="preserve"> </w:t>
      </w:r>
      <w:r w:rsidR="00315122" w:rsidRPr="002A6A08">
        <w:rPr>
          <w:rFonts w:ascii="Times New Roman" w:hAnsi="Times New Roman" w:cs="Times New Roman"/>
          <w:i/>
          <w:sz w:val="24"/>
          <w:szCs w:val="24"/>
        </w:rPr>
        <w:t>v. U.S.</w:t>
      </w:r>
      <w:r w:rsidR="00315122" w:rsidRPr="002A6A08">
        <w:rPr>
          <w:rFonts w:ascii="Times New Roman" w:hAnsi="Times New Roman" w:cs="Times New Roman"/>
          <w:sz w:val="24"/>
          <w:szCs w:val="24"/>
        </w:rPr>
        <w:t xml:space="preserve">, No. 15-7 (U.S. June 30, 2015), 2015 WL 4035937. </w:t>
      </w:r>
    </w:p>
    <w:p w:rsidR="00BF2C34" w:rsidRPr="002A6A08" w:rsidRDefault="00BF2C34" w:rsidP="002A6A08">
      <w:pPr>
        <w:pStyle w:val="NoSpacing"/>
        <w:jc w:val="both"/>
        <w:rPr>
          <w:rFonts w:ascii="Times New Roman" w:hAnsi="Times New Roman" w:cs="Times New Roman"/>
          <w:sz w:val="24"/>
          <w:szCs w:val="24"/>
        </w:rPr>
      </w:pPr>
    </w:p>
    <w:p w:rsidR="004372A0" w:rsidRPr="002A6A08" w:rsidRDefault="00BF2C34" w:rsidP="002A6A08">
      <w:pPr>
        <w:pStyle w:val="NoSpacing"/>
        <w:jc w:val="both"/>
        <w:rPr>
          <w:rFonts w:ascii="Times New Roman" w:hAnsi="Times New Roman" w:cs="Times New Roman"/>
          <w:sz w:val="24"/>
          <w:szCs w:val="24"/>
        </w:rPr>
      </w:pPr>
      <w:r w:rsidRPr="002A6A08">
        <w:rPr>
          <w:rFonts w:ascii="Times New Roman" w:hAnsi="Times New Roman" w:cs="Times New Roman"/>
          <w:sz w:val="24"/>
          <w:szCs w:val="24"/>
        </w:rPr>
        <w:t xml:space="preserve">In </w:t>
      </w:r>
      <w:r w:rsidRPr="002A6A08">
        <w:rPr>
          <w:rFonts w:ascii="Times New Roman" w:hAnsi="Times New Roman" w:cs="Times New Roman"/>
          <w:i/>
          <w:sz w:val="24"/>
          <w:szCs w:val="24"/>
        </w:rPr>
        <w:t>Escobar</w:t>
      </w:r>
      <w:r w:rsidRPr="002A6A08">
        <w:rPr>
          <w:rFonts w:ascii="Times New Roman" w:hAnsi="Times New Roman" w:cs="Times New Roman"/>
          <w:sz w:val="24"/>
          <w:szCs w:val="24"/>
        </w:rPr>
        <w:t>, the Court reached a decision</w:t>
      </w:r>
      <w:r w:rsidR="00B92924" w:rsidRPr="002A6A08">
        <w:rPr>
          <w:rFonts w:ascii="Times New Roman" w:hAnsi="Times New Roman" w:cs="Times New Roman"/>
          <w:sz w:val="24"/>
          <w:szCs w:val="24"/>
        </w:rPr>
        <w:t xml:space="preserve"> </w:t>
      </w:r>
      <w:r w:rsidR="004372A0" w:rsidRPr="002A6A08">
        <w:rPr>
          <w:rFonts w:ascii="Times New Roman" w:hAnsi="Times New Roman" w:cs="Times New Roman"/>
          <w:sz w:val="24"/>
          <w:szCs w:val="24"/>
        </w:rPr>
        <w:t xml:space="preserve">resolving </w:t>
      </w:r>
      <w:r w:rsidR="00B92924" w:rsidRPr="002A6A08">
        <w:rPr>
          <w:rFonts w:ascii="Times New Roman" w:hAnsi="Times New Roman" w:cs="Times New Roman"/>
          <w:sz w:val="24"/>
          <w:szCs w:val="24"/>
        </w:rPr>
        <w:t>the c</w:t>
      </w:r>
      <w:r w:rsidR="00315122" w:rsidRPr="002A6A08">
        <w:rPr>
          <w:rFonts w:ascii="Times New Roman" w:hAnsi="Times New Roman" w:cs="Times New Roman"/>
          <w:sz w:val="24"/>
          <w:szCs w:val="24"/>
        </w:rPr>
        <w:t xml:space="preserve">ircuit split, holding that the implied certification theory of liability is a viable basis for imposing FCA liability.  </w:t>
      </w:r>
      <w:r w:rsidR="00B90CF9" w:rsidRPr="002A6A08">
        <w:rPr>
          <w:rFonts w:ascii="Times New Roman" w:hAnsi="Times New Roman" w:cs="Times New Roman"/>
          <w:sz w:val="24"/>
          <w:szCs w:val="24"/>
        </w:rPr>
        <w:t>However</w:t>
      </w:r>
      <w:r w:rsidR="004372A0" w:rsidRPr="002A6A08">
        <w:rPr>
          <w:rFonts w:ascii="Times New Roman" w:hAnsi="Times New Roman" w:cs="Times New Roman"/>
          <w:sz w:val="24"/>
          <w:szCs w:val="24"/>
        </w:rPr>
        <w:t>, the Court held that the theory is only viabl</w:t>
      </w:r>
      <w:r w:rsidR="00C64F37">
        <w:rPr>
          <w:rFonts w:ascii="Times New Roman" w:hAnsi="Times New Roman" w:cs="Times New Roman"/>
          <w:sz w:val="24"/>
          <w:szCs w:val="24"/>
        </w:rPr>
        <w:t xml:space="preserve">e when two conditions are met: </w:t>
      </w:r>
      <w:r w:rsidR="004372A0" w:rsidRPr="002A6A08">
        <w:rPr>
          <w:rFonts w:ascii="Times New Roman" w:hAnsi="Times New Roman" w:cs="Times New Roman"/>
          <w:sz w:val="24"/>
          <w:szCs w:val="24"/>
        </w:rPr>
        <w:t>(1) the defendant, in requesting payment, makes specific representations about the goods or services provided, and (2) the defendant knowingly failed to disclose noncompliance with material statutory, regulat</w:t>
      </w:r>
      <w:r w:rsidR="00B90CF9" w:rsidRPr="002A6A08">
        <w:rPr>
          <w:rFonts w:ascii="Times New Roman" w:hAnsi="Times New Roman" w:cs="Times New Roman"/>
          <w:sz w:val="24"/>
          <w:szCs w:val="24"/>
        </w:rPr>
        <w:t>ory, or contractual requirements</w:t>
      </w:r>
      <w:r w:rsidR="004372A0" w:rsidRPr="002A6A08">
        <w:rPr>
          <w:rFonts w:ascii="Times New Roman" w:hAnsi="Times New Roman" w:cs="Times New Roman"/>
          <w:sz w:val="24"/>
          <w:szCs w:val="24"/>
        </w:rPr>
        <w:t>, rendering those representations “misleading half-truths.”  In other words, the noncompliance must be misleading and material to the Government’s d</w:t>
      </w:r>
      <w:r w:rsidR="00204FAC" w:rsidRPr="002A6A08">
        <w:rPr>
          <w:rFonts w:ascii="Times New Roman" w:hAnsi="Times New Roman" w:cs="Times New Roman"/>
          <w:sz w:val="24"/>
          <w:szCs w:val="24"/>
        </w:rPr>
        <w:t xml:space="preserve">ecision to reimburse the claim. </w:t>
      </w:r>
    </w:p>
    <w:p w:rsidR="004372A0" w:rsidRPr="002A6A08" w:rsidRDefault="004372A0" w:rsidP="002A6A08">
      <w:pPr>
        <w:pStyle w:val="NoSpacing"/>
        <w:jc w:val="both"/>
        <w:rPr>
          <w:rFonts w:ascii="Times New Roman" w:hAnsi="Times New Roman" w:cs="Times New Roman"/>
          <w:sz w:val="24"/>
          <w:szCs w:val="24"/>
        </w:rPr>
      </w:pPr>
    </w:p>
    <w:p w:rsidR="006B6871" w:rsidRPr="002A6A08" w:rsidRDefault="008D4D7B" w:rsidP="002A6A08">
      <w:pPr>
        <w:pStyle w:val="NoSpacing"/>
        <w:jc w:val="both"/>
        <w:rPr>
          <w:rFonts w:ascii="Times New Roman" w:hAnsi="Times New Roman" w:cs="Times New Roman"/>
          <w:sz w:val="24"/>
          <w:szCs w:val="24"/>
        </w:rPr>
      </w:pPr>
      <w:r w:rsidRPr="002A6A08">
        <w:rPr>
          <w:rFonts w:ascii="Times New Roman" w:hAnsi="Times New Roman" w:cs="Times New Roman"/>
          <w:sz w:val="24"/>
          <w:szCs w:val="24"/>
        </w:rPr>
        <w:t>The Court also noted that not every regulatory or contractual violation renders a claim false.  Instead, the Court held that</w:t>
      </w:r>
      <w:r w:rsidR="00371F46" w:rsidRPr="002A6A08">
        <w:rPr>
          <w:rFonts w:ascii="Times New Roman" w:hAnsi="Times New Roman" w:cs="Times New Roman"/>
          <w:sz w:val="24"/>
          <w:szCs w:val="24"/>
        </w:rPr>
        <w:t xml:space="preserve"> </w:t>
      </w:r>
      <w:r w:rsidR="006B6871" w:rsidRPr="002A6A08">
        <w:rPr>
          <w:rFonts w:ascii="Times New Roman" w:hAnsi="Times New Roman" w:cs="Times New Roman"/>
          <w:sz w:val="24"/>
          <w:szCs w:val="24"/>
        </w:rPr>
        <w:t xml:space="preserve">a </w:t>
      </w:r>
      <w:r w:rsidRPr="002A6A08">
        <w:rPr>
          <w:rFonts w:ascii="Times New Roman" w:hAnsi="Times New Roman" w:cs="Times New Roman"/>
          <w:sz w:val="24"/>
          <w:szCs w:val="24"/>
        </w:rPr>
        <w:t xml:space="preserve">statute, </w:t>
      </w:r>
      <w:r w:rsidR="006B6871" w:rsidRPr="002A6A08">
        <w:rPr>
          <w:rFonts w:ascii="Times New Roman" w:hAnsi="Times New Roman" w:cs="Times New Roman"/>
          <w:sz w:val="24"/>
          <w:szCs w:val="24"/>
        </w:rPr>
        <w:t>regulation or contract term must be a material prerequisite to payment, and a condition is not material merely because the plaintiff designates the condition as material</w:t>
      </w:r>
      <w:r w:rsidR="00371F46" w:rsidRPr="002A6A08">
        <w:rPr>
          <w:rFonts w:ascii="Times New Roman" w:hAnsi="Times New Roman" w:cs="Times New Roman"/>
          <w:sz w:val="24"/>
          <w:szCs w:val="24"/>
        </w:rPr>
        <w:t xml:space="preserve">.  </w:t>
      </w:r>
      <w:r w:rsidRPr="002A6A08">
        <w:rPr>
          <w:rFonts w:ascii="Times New Roman" w:hAnsi="Times New Roman" w:cs="Times New Roman"/>
          <w:sz w:val="24"/>
          <w:szCs w:val="24"/>
        </w:rPr>
        <w:t xml:space="preserve">Instead, the plaintiff has the burden of affirmatively pleading facts to support allegations of materiality. </w:t>
      </w:r>
      <w:r w:rsidR="00204FAC" w:rsidRPr="002A6A08">
        <w:rPr>
          <w:rFonts w:ascii="Times New Roman" w:hAnsi="Times New Roman" w:cs="Times New Roman"/>
          <w:sz w:val="24"/>
          <w:szCs w:val="24"/>
        </w:rPr>
        <w:t xml:space="preserve"> </w:t>
      </w:r>
    </w:p>
    <w:p w:rsidR="00204FAC" w:rsidRPr="002A6A08" w:rsidRDefault="00204FAC" w:rsidP="002A6A08">
      <w:pPr>
        <w:pStyle w:val="NoSpacing"/>
        <w:jc w:val="both"/>
        <w:rPr>
          <w:rFonts w:ascii="Times New Roman" w:hAnsi="Times New Roman" w:cs="Times New Roman"/>
          <w:sz w:val="24"/>
          <w:szCs w:val="24"/>
        </w:rPr>
      </w:pPr>
    </w:p>
    <w:p w:rsidR="00315122" w:rsidRPr="002A6A08" w:rsidRDefault="006B6871" w:rsidP="002A6A08">
      <w:pPr>
        <w:pStyle w:val="NoSpacing"/>
        <w:jc w:val="both"/>
        <w:rPr>
          <w:rFonts w:ascii="Times New Roman" w:hAnsi="Times New Roman" w:cs="Times New Roman"/>
          <w:sz w:val="24"/>
          <w:szCs w:val="24"/>
        </w:rPr>
      </w:pPr>
      <w:r w:rsidRPr="002A6A08">
        <w:rPr>
          <w:rFonts w:ascii="Times New Roman" w:hAnsi="Times New Roman" w:cs="Times New Roman"/>
          <w:sz w:val="24"/>
          <w:szCs w:val="24"/>
        </w:rPr>
        <w:t>The Court’s decision has an enormous impact on future FCA cases going forward, as the ruling widens the scope of potential liability for defendants</w:t>
      </w:r>
      <w:r w:rsidR="00315122" w:rsidRPr="002A6A08">
        <w:rPr>
          <w:rFonts w:ascii="Times New Roman" w:hAnsi="Times New Roman" w:cs="Times New Roman"/>
          <w:sz w:val="24"/>
          <w:szCs w:val="24"/>
        </w:rPr>
        <w:t xml:space="preserve"> across the nation</w:t>
      </w:r>
      <w:r w:rsidRPr="002A6A08">
        <w:rPr>
          <w:rFonts w:ascii="Times New Roman" w:hAnsi="Times New Roman" w:cs="Times New Roman"/>
          <w:sz w:val="24"/>
          <w:szCs w:val="24"/>
        </w:rPr>
        <w:t>, especially as all circuits now ha</w:t>
      </w:r>
      <w:r w:rsidR="00315122" w:rsidRPr="002A6A08">
        <w:rPr>
          <w:rFonts w:ascii="Times New Roman" w:hAnsi="Times New Roman" w:cs="Times New Roman"/>
          <w:sz w:val="24"/>
          <w:szCs w:val="24"/>
        </w:rPr>
        <w:t>ve to accept and apply the theory</w:t>
      </w:r>
      <w:r w:rsidRPr="002A6A08">
        <w:rPr>
          <w:rFonts w:ascii="Times New Roman" w:hAnsi="Times New Roman" w:cs="Times New Roman"/>
          <w:sz w:val="24"/>
          <w:szCs w:val="24"/>
        </w:rPr>
        <w:t>.</w:t>
      </w:r>
      <w:r w:rsidR="00315122" w:rsidRPr="002A6A08">
        <w:rPr>
          <w:rFonts w:ascii="Times New Roman" w:hAnsi="Times New Roman" w:cs="Times New Roman"/>
          <w:sz w:val="24"/>
          <w:szCs w:val="24"/>
        </w:rPr>
        <w:t xml:space="preserve"> </w:t>
      </w:r>
      <w:r w:rsidRPr="002A6A08">
        <w:rPr>
          <w:rFonts w:ascii="Times New Roman" w:hAnsi="Times New Roman" w:cs="Times New Roman"/>
          <w:sz w:val="24"/>
          <w:szCs w:val="24"/>
        </w:rPr>
        <w:t xml:space="preserve"> </w:t>
      </w:r>
      <w:r w:rsidR="00B90CF9" w:rsidRPr="002A6A08">
        <w:rPr>
          <w:rFonts w:ascii="Times New Roman" w:hAnsi="Times New Roman" w:cs="Times New Roman"/>
          <w:sz w:val="24"/>
          <w:szCs w:val="24"/>
        </w:rPr>
        <w:t>In addition, this most likely means that more FCA cases will survive motions to dismiss, given the factual inquiry that will be required in examining materiality.</w:t>
      </w:r>
    </w:p>
    <w:p w:rsidR="00315122" w:rsidRPr="002A6A08" w:rsidRDefault="00315122" w:rsidP="00315122">
      <w:pPr>
        <w:pStyle w:val="NoSpacing"/>
        <w:jc w:val="both"/>
        <w:rPr>
          <w:rFonts w:ascii="Times New Roman" w:hAnsi="Times New Roman" w:cs="Times New Roman"/>
          <w:sz w:val="24"/>
          <w:szCs w:val="24"/>
        </w:rPr>
      </w:pPr>
    </w:p>
    <w:p w:rsidR="001F5FB7" w:rsidRDefault="00DC354F" w:rsidP="00C64F37">
      <w:pPr>
        <w:pStyle w:val="NoSpacing"/>
        <w:ind w:firstLine="720"/>
        <w:jc w:val="both"/>
        <w:rPr>
          <w:rFonts w:ascii="Times New Roman" w:hAnsi="Times New Roman" w:cs="Times New Roman"/>
          <w:b/>
          <w:sz w:val="24"/>
          <w:szCs w:val="24"/>
        </w:rPr>
      </w:pPr>
      <w:r w:rsidRPr="00DC354F">
        <w:rPr>
          <w:rFonts w:ascii="Times New Roman" w:hAnsi="Times New Roman" w:cs="Times New Roman"/>
          <w:b/>
          <w:sz w:val="24"/>
          <w:szCs w:val="24"/>
        </w:rPr>
        <w:t>Submitted by</w:t>
      </w:r>
      <w:r w:rsidR="00315122" w:rsidRPr="00DC354F">
        <w:rPr>
          <w:rFonts w:ascii="Times New Roman" w:hAnsi="Times New Roman" w:cs="Times New Roman"/>
          <w:b/>
          <w:sz w:val="24"/>
          <w:szCs w:val="24"/>
        </w:rPr>
        <w:t xml:space="preserve">:  Jamie B. Gelfman, Esq. </w:t>
      </w:r>
    </w:p>
    <w:p w:rsidR="00B53696" w:rsidRPr="00C64F37" w:rsidRDefault="00B53696" w:rsidP="00C64F37">
      <w:pPr>
        <w:pStyle w:val="NoSpacing"/>
        <w:ind w:firstLine="720"/>
        <w:jc w:val="both"/>
        <w:rPr>
          <w:rFonts w:ascii="Times New Roman" w:hAnsi="Times New Roman" w:cs="Times New Roman"/>
          <w:b/>
          <w:sz w:val="24"/>
          <w:szCs w:val="24"/>
        </w:rPr>
      </w:pPr>
    </w:p>
    <w:p w:rsidR="001C47E8" w:rsidRPr="00013B29" w:rsidRDefault="001C47E8" w:rsidP="00D87FB9">
      <w:pPr>
        <w:jc w:val="center"/>
        <w:rPr>
          <w:rFonts w:ascii="Times New Roman" w:eastAsia="Times New Roman" w:hAnsi="Times New Roman" w:cs="Times New Roman"/>
          <w:b/>
          <w:sz w:val="28"/>
          <w:szCs w:val="28"/>
          <w:shd w:val="clear" w:color="auto" w:fill="FFFFFF"/>
        </w:rPr>
      </w:pPr>
      <w:r w:rsidRPr="00013B29">
        <w:rPr>
          <w:rFonts w:ascii="Times New Roman" w:eastAsia="Times New Roman" w:hAnsi="Times New Roman" w:cs="Times New Roman"/>
          <w:b/>
          <w:sz w:val="28"/>
          <w:szCs w:val="28"/>
          <w:shd w:val="clear" w:color="auto" w:fill="FFFFFF"/>
        </w:rPr>
        <w:lastRenderedPageBreak/>
        <w:t>FRAUD &amp; ABUSE</w:t>
      </w:r>
    </w:p>
    <w:p w:rsidR="001C47E8" w:rsidRPr="00120FE6" w:rsidRDefault="001C47E8" w:rsidP="00C64F37">
      <w:pPr>
        <w:spacing w:after="0" w:line="240" w:lineRule="auto"/>
        <w:jc w:val="both"/>
        <w:rPr>
          <w:rFonts w:ascii="Times New Roman" w:eastAsia="Times New Roman" w:hAnsi="Times New Roman" w:cs="Times New Roman"/>
          <w:b/>
          <w:u w:val="single"/>
          <w:shd w:val="clear" w:color="auto" w:fill="FFFFFF"/>
        </w:rPr>
      </w:pPr>
      <w:r w:rsidRPr="00120FE6">
        <w:rPr>
          <w:rFonts w:ascii="Times New Roman" w:eastAsia="Times New Roman" w:hAnsi="Times New Roman" w:cs="Times New Roman"/>
          <w:b/>
          <w:u w:val="single"/>
          <w:shd w:val="clear" w:color="auto" w:fill="FFFFFF"/>
        </w:rPr>
        <w:t>US Supreme Court Rules on Implied Certification FCA Case</w:t>
      </w:r>
    </w:p>
    <w:p w:rsidR="00C64F37" w:rsidRDefault="00C64F37" w:rsidP="00C64F37">
      <w:pPr>
        <w:shd w:val="clear" w:color="auto" w:fill="FFFFFF"/>
        <w:spacing w:after="0" w:line="240" w:lineRule="auto"/>
        <w:jc w:val="both"/>
        <w:rPr>
          <w:rFonts w:ascii="Times New Roman" w:eastAsia="Times New Roman" w:hAnsi="Times New Roman" w:cs="Times New Roman"/>
          <w:sz w:val="24"/>
          <w:szCs w:val="24"/>
        </w:rPr>
      </w:pPr>
    </w:p>
    <w:p w:rsidR="001C47E8" w:rsidRDefault="001C47E8" w:rsidP="00C64F37">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2A6A08">
        <w:rPr>
          <w:rFonts w:ascii="Times New Roman" w:eastAsia="Times New Roman" w:hAnsi="Times New Roman" w:cs="Times New Roman"/>
          <w:sz w:val="24"/>
          <w:szCs w:val="24"/>
        </w:rPr>
        <w:t>On June 16, 2016, the US Supreme court reached a unanimous decision in a Medicaid implied certification</w:t>
      </w:r>
      <w:r>
        <w:rPr>
          <w:rFonts w:ascii="Times New Roman" w:eastAsia="Times New Roman" w:hAnsi="Times New Roman" w:cs="Times New Roman"/>
          <w:sz w:val="24"/>
          <w:szCs w:val="24"/>
        </w:rPr>
        <w:t xml:space="preserve"> False Claims Act (“FCA”) case, </w:t>
      </w:r>
      <w:r w:rsidRPr="002A6A08">
        <w:rPr>
          <w:rFonts w:ascii="Times New Roman" w:eastAsia="Times New Roman" w:hAnsi="Times New Roman" w:cs="Times New Roman"/>
          <w:i/>
          <w:iCs/>
          <w:sz w:val="24"/>
          <w:szCs w:val="24"/>
          <w:bdr w:val="none" w:sz="0" w:space="0" w:color="auto" w:frame="1"/>
        </w:rPr>
        <w:t>Universal Health Services, Inc. v. United States ex rel. Escobar</w:t>
      </w:r>
      <w:r w:rsidRPr="002A6A08">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i/>
          <w:iCs/>
          <w:sz w:val="24"/>
          <w:szCs w:val="24"/>
          <w:bdr w:val="none" w:sz="0" w:space="0" w:color="auto" w:frame="1"/>
        </w:rPr>
        <w:t xml:space="preserve"> </w:t>
      </w:r>
      <w:r w:rsidRPr="002A6A08">
        <w:rPr>
          <w:rFonts w:ascii="Times New Roman" w:eastAsia="Times New Roman" w:hAnsi="Times New Roman" w:cs="Times New Roman"/>
          <w:sz w:val="24"/>
          <w:szCs w:val="24"/>
          <w:bdr w:val="none" w:sz="0" w:space="0" w:color="auto" w:frame="1"/>
        </w:rPr>
        <w:t>The Court confirmed that the implied certification theory is a valid theory of liability, which resolves a split among the federal circuit courts of appeal reg</w:t>
      </w:r>
      <w:r>
        <w:rPr>
          <w:rFonts w:ascii="Times New Roman" w:eastAsia="Times New Roman" w:hAnsi="Times New Roman" w:cs="Times New Roman"/>
          <w:sz w:val="24"/>
          <w:szCs w:val="24"/>
          <w:bdr w:val="none" w:sz="0" w:space="0" w:color="auto" w:frame="1"/>
        </w:rPr>
        <w:t xml:space="preserve">arding the theory’s viability. </w:t>
      </w:r>
    </w:p>
    <w:p w:rsidR="00B53696" w:rsidRPr="002A6A08" w:rsidRDefault="00B53696" w:rsidP="00C64F37">
      <w:pPr>
        <w:shd w:val="clear" w:color="auto" w:fill="FFFFFF"/>
        <w:spacing w:after="0" w:line="240" w:lineRule="auto"/>
        <w:jc w:val="both"/>
        <w:rPr>
          <w:rFonts w:ascii="Times New Roman" w:eastAsia="Times New Roman" w:hAnsi="Times New Roman" w:cs="Times New Roman"/>
          <w:sz w:val="24"/>
          <w:szCs w:val="24"/>
        </w:rPr>
      </w:pPr>
    </w:p>
    <w:p w:rsidR="001C47E8" w:rsidRPr="001C47E8" w:rsidRDefault="001C47E8" w:rsidP="00C64F37">
      <w:pPr>
        <w:shd w:val="clear" w:color="auto" w:fill="FFFFFF"/>
        <w:spacing w:after="0" w:line="240" w:lineRule="auto"/>
        <w:jc w:val="both"/>
        <w:rPr>
          <w:rFonts w:ascii="Times New Roman" w:eastAsia="Times New Roman" w:hAnsi="Times New Roman" w:cs="Times New Roman"/>
          <w:sz w:val="24"/>
          <w:szCs w:val="24"/>
        </w:rPr>
      </w:pPr>
      <w:r w:rsidRPr="002A6A08">
        <w:rPr>
          <w:rFonts w:ascii="Times New Roman" w:eastAsia="Times New Roman" w:hAnsi="Times New Roman" w:cs="Times New Roman"/>
          <w:sz w:val="24"/>
          <w:szCs w:val="24"/>
        </w:rPr>
        <w:t>The implied certification theory is that a False Claims Act violation can occur for reasons beyond just making a false statement in a request to the government for payment or in the express language of a ce</w:t>
      </w:r>
      <w:r>
        <w:rPr>
          <w:rFonts w:ascii="Times New Roman" w:eastAsia="Times New Roman" w:hAnsi="Times New Roman" w:cs="Times New Roman"/>
          <w:sz w:val="24"/>
          <w:szCs w:val="24"/>
        </w:rPr>
        <w:t xml:space="preserve">rtification to the government. </w:t>
      </w:r>
      <w:r w:rsidRPr="002A6A08">
        <w:rPr>
          <w:rFonts w:ascii="Times New Roman" w:eastAsia="Times New Roman" w:hAnsi="Times New Roman" w:cs="Times New Roman"/>
          <w:sz w:val="24"/>
          <w:szCs w:val="24"/>
        </w:rPr>
        <w:t xml:space="preserve">The implied certification theory means a party can potentially be liable simply for seeking government payment while knowingly violating a regulation or contract provision, regardless of whether there is an express certification of </w:t>
      </w:r>
      <w:r>
        <w:rPr>
          <w:rFonts w:ascii="Times New Roman" w:eastAsia="Times New Roman" w:hAnsi="Times New Roman" w:cs="Times New Roman"/>
          <w:sz w:val="24"/>
          <w:szCs w:val="24"/>
        </w:rPr>
        <w:t xml:space="preserve">compliance with that standard. </w:t>
      </w:r>
      <w:r w:rsidRPr="002A6A08">
        <w:rPr>
          <w:rFonts w:ascii="Times New Roman" w:eastAsia="Times New Roman" w:hAnsi="Times New Roman" w:cs="Times New Roman"/>
          <w:sz w:val="24"/>
          <w:szCs w:val="24"/>
        </w:rPr>
        <w:t>The concept focuses on the party</w:t>
      </w:r>
      <w:r>
        <w:rPr>
          <w:rFonts w:ascii="Times New Roman" w:eastAsia="Times New Roman" w:hAnsi="Times New Roman" w:cs="Times New Roman"/>
          <w:sz w:val="24"/>
          <w:szCs w:val="24"/>
        </w:rPr>
        <w:t xml:space="preserve"> </w:t>
      </w:r>
      <w:r w:rsidRPr="002A6A08">
        <w:rPr>
          <w:rFonts w:ascii="Times New Roman" w:eastAsia="Times New Roman" w:hAnsi="Times New Roman" w:cs="Times New Roman"/>
          <w:i/>
          <w:iCs/>
          <w:sz w:val="24"/>
          <w:szCs w:val="24"/>
        </w:rPr>
        <w:t>impliedly</w:t>
      </w:r>
      <w:r>
        <w:rPr>
          <w:rFonts w:ascii="Times New Roman" w:eastAsia="Times New Roman" w:hAnsi="Times New Roman" w:cs="Times New Roman"/>
          <w:sz w:val="24"/>
          <w:szCs w:val="24"/>
        </w:rPr>
        <w:t xml:space="preserve"> </w:t>
      </w:r>
      <w:r w:rsidRPr="002A6A08">
        <w:rPr>
          <w:rFonts w:ascii="Times New Roman" w:eastAsia="Times New Roman" w:hAnsi="Times New Roman" w:cs="Times New Roman"/>
          <w:i/>
          <w:iCs/>
          <w:sz w:val="24"/>
          <w:szCs w:val="24"/>
        </w:rPr>
        <w:t>certifying</w:t>
      </w:r>
      <w:r>
        <w:rPr>
          <w:rFonts w:ascii="Times New Roman" w:eastAsia="Times New Roman" w:hAnsi="Times New Roman" w:cs="Times New Roman"/>
          <w:sz w:val="24"/>
          <w:szCs w:val="24"/>
        </w:rPr>
        <w:t xml:space="preserve"> </w:t>
      </w:r>
      <w:r w:rsidRPr="002A6A08">
        <w:rPr>
          <w:rFonts w:ascii="Times New Roman" w:eastAsia="Times New Roman" w:hAnsi="Times New Roman" w:cs="Times New Roman"/>
          <w:sz w:val="24"/>
          <w:szCs w:val="24"/>
        </w:rPr>
        <w:t>that it is complying with all applicable laws, regulations and contractual provisions simply by seeking payment from the government.</w:t>
      </w:r>
    </w:p>
    <w:p w:rsidR="00C64F37" w:rsidRDefault="00C64F37" w:rsidP="00C64F37">
      <w:pPr>
        <w:spacing w:after="0" w:line="240" w:lineRule="auto"/>
        <w:jc w:val="both"/>
        <w:rPr>
          <w:rFonts w:ascii="Times New Roman" w:eastAsia="Times New Roman" w:hAnsi="Times New Roman" w:cs="Times New Roman"/>
          <w:sz w:val="24"/>
          <w:szCs w:val="24"/>
          <w:shd w:val="clear" w:color="auto" w:fill="FFFFFF"/>
        </w:rPr>
      </w:pPr>
    </w:p>
    <w:p w:rsidR="001C47E8" w:rsidRPr="002A6A08" w:rsidRDefault="001C47E8" w:rsidP="00C64F37">
      <w:pPr>
        <w:spacing w:after="0" w:line="240" w:lineRule="auto"/>
        <w:jc w:val="both"/>
        <w:rPr>
          <w:rFonts w:ascii="Times New Roman" w:eastAsia="Times New Roman" w:hAnsi="Times New Roman" w:cs="Times New Roman"/>
          <w:sz w:val="24"/>
          <w:szCs w:val="24"/>
          <w:shd w:val="clear" w:color="auto" w:fill="FFFFFF"/>
        </w:rPr>
      </w:pPr>
      <w:r w:rsidRPr="002A6A08">
        <w:rPr>
          <w:rFonts w:ascii="Times New Roman" w:eastAsia="Times New Roman" w:hAnsi="Times New Roman" w:cs="Times New Roman"/>
          <w:sz w:val="24"/>
          <w:szCs w:val="24"/>
          <w:shd w:val="clear" w:color="auto" w:fill="FFFFFF"/>
        </w:rPr>
        <w:t>The Court’s decision clarified the implied certification theory for FCA liability and specified two preconditi</w:t>
      </w:r>
      <w:r>
        <w:rPr>
          <w:rFonts w:ascii="Times New Roman" w:eastAsia="Times New Roman" w:hAnsi="Times New Roman" w:cs="Times New Roman"/>
          <w:sz w:val="24"/>
          <w:szCs w:val="24"/>
          <w:shd w:val="clear" w:color="auto" w:fill="FFFFFF"/>
        </w:rPr>
        <w:t>ons when applying the theory.</w:t>
      </w:r>
      <w:r w:rsidR="00D87FB9">
        <w:rPr>
          <w:rFonts w:ascii="Times New Roman" w:eastAsia="Times New Roman" w:hAnsi="Times New Roman" w:cs="Times New Roman"/>
          <w:sz w:val="24"/>
          <w:szCs w:val="24"/>
          <w:shd w:val="clear" w:color="auto" w:fill="FFFFFF"/>
        </w:rPr>
        <w:t xml:space="preserve"> </w:t>
      </w:r>
      <w:r w:rsidRPr="002A6A08">
        <w:rPr>
          <w:rFonts w:ascii="Times New Roman" w:eastAsia="Times New Roman" w:hAnsi="Times New Roman" w:cs="Times New Roman"/>
          <w:sz w:val="24"/>
          <w:szCs w:val="24"/>
          <w:shd w:val="clear" w:color="auto" w:fill="FFFFFF"/>
        </w:rPr>
        <w:t>The first precondition occurs when a party submits a claim for payment making specific representations about t</w:t>
      </w:r>
      <w:r>
        <w:rPr>
          <w:rFonts w:ascii="Times New Roman" w:eastAsia="Times New Roman" w:hAnsi="Times New Roman" w:cs="Times New Roman"/>
          <w:sz w:val="24"/>
          <w:szCs w:val="24"/>
          <w:shd w:val="clear" w:color="auto" w:fill="FFFFFF"/>
        </w:rPr>
        <w:t xml:space="preserve">he goods or services provided. </w:t>
      </w:r>
      <w:r w:rsidRPr="002A6A08">
        <w:rPr>
          <w:rFonts w:ascii="Times New Roman" w:eastAsia="Times New Roman" w:hAnsi="Times New Roman" w:cs="Times New Roman"/>
          <w:sz w:val="24"/>
          <w:szCs w:val="24"/>
          <w:shd w:val="clear" w:color="auto" w:fill="FFFFFF"/>
        </w:rPr>
        <w:t>Next, the party fails to disclose non-compliance with material statutory, regulatory, or contractual requirements that make th</w:t>
      </w:r>
      <w:r>
        <w:rPr>
          <w:rFonts w:ascii="Times New Roman" w:eastAsia="Times New Roman" w:hAnsi="Times New Roman" w:cs="Times New Roman"/>
          <w:sz w:val="24"/>
          <w:szCs w:val="24"/>
          <w:shd w:val="clear" w:color="auto" w:fill="FFFFFF"/>
        </w:rPr>
        <w:t>ose representations misleading.</w:t>
      </w:r>
      <w:r w:rsidRPr="002A6A08">
        <w:rPr>
          <w:rFonts w:ascii="Times New Roman" w:eastAsia="Times New Roman" w:hAnsi="Times New Roman" w:cs="Times New Roman"/>
          <w:sz w:val="24"/>
          <w:szCs w:val="24"/>
          <w:shd w:val="clear" w:color="auto" w:fill="FFFFFF"/>
        </w:rPr>
        <w:t xml:space="preserve"> The Court went on to speci</w:t>
      </w:r>
      <w:r>
        <w:rPr>
          <w:rFonts w:ascii="Times New Roman" w:eastAsia="Times New Roman" w:hAnsi="Times New Roman" w:cs="Times New Roman"/>
          <w:sz w:val="24"/>
          <w:szCs w:val="24"/>
          <w:shd w:val="clear" w:color="auto" w:fill="FFFFFF"/>
        </w:rPr>
        <w:t xml:space="preserve">fy that liability under the FCA </w:t>
      </w:r>
      <w:r w:rsidRPr="002A6A08">
        <w:rPr>
          <w:rFonts w:ascii="Times New Roman" w:eastAsia="Times New Roman" w:hAnsi="Times New Roman" w:cs="Times New Roman"/>
          <w:sz w:val="24"/>
          <w:szCs w:val="24"/>
          <w:shd w:val="clear" w:color="auto" w:fill="FFFFFF"/>
        </w:rPr>
        <w:t xml:space="preserve">for failing to disclose violations of legal requirements does not turn upon whether those requirements were expressly designated </w:t>
      </w:r>
      <w:r>
        <w:rPr>
          <w:rFonts w:ascii="Times New Roman" w:eastAsia="Times New Roman" w:hAnsi="Times New Roman" w:cs="Times New Roman"/>
          <w:sz w:val="24"/>
          <w:szCs w:val="24"/>
          <w:shd w:val="clear" w:color="auto" w:fill="FFFFFF"/>
        </w:rPr>
        <w:t>as conditions of payment.</w:t>
      </w:r>
    </w:p>
    <w:p w:rsidR="00C64F37" w:rsidRDefault="00C64F37" w:rsidP="00C64F37">
      <w:pPr>
        <w:spacing w:after="0" w:line="240" w:lineRule="auto"/>
        <w:jc w:val="both"/>
        <w:rPr>
          <w:rFonts w:ascii="Times New Roman" w:eastAsia="Times New Roman" w:hAnsi="Times New Roman" w:cs="Times New Roman"/>
          <w:sz w:val="24"/>
          <w:szCs w:val="24"/>
          <w:shd w:val="clear" w:color="auto" w:fill="FFFFFF"/>
        </w:rPr>
      </w:pPr>
    </w:p>
    <w:p w:rsidR="001C47E8" w:rsidRPr="002A6A08" w:rsidRDefault="001C47E8" w:rsidP="00C64F37">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In </w:t>
      </w:r>
      <w:r w:rsidRPr="002A6A08">
        <w:rPr>
          <w:rFonts w:ascii="Times New Roman" w:eastAsia="Times New Roman" w:hAnsi="Times New Roman" w:cs="Times New Roman"/>
          <w:i/>
          <w:iCs/>
          <w:sz w:val="24"/>
          <w:szCs w:val="24"/>
          <w:shd w:val="clear" w:color="auto" w:fill="FFFFFF"/>
        </w:rPr>
        <w:t>Escobar</w:t>
      </w:r>
      <w:r>
        <w:rPr>
          <w:rFonts w:ascii="Times New Roman" w:eastAsia="Times New Roman" w:hAnsi="Times New Roman" w:cs="Times New Roman"/>
          <w:sz w:val="24"/>
          <w:szCs w:val="24"/>
          <w:shd w:val="clear" w:color="auto" w:fill="FFFFFF"/>
        </w:rPr>
        <w:t>, a</w:t>
      </w:r>
      <w:r w:rsidRPr="002A6A08">
        <w:rPr>
          <w:rFonts w:ascii="Times New Roman" w:eastAsia="Times New Roman" w:hAnsi="Times New Roman" w:cs="Times New Roman"/>
          <w:i/>
          <w:iCs/>
          <w:sz w:val="24"/>
          <w:szCs w:val="24"/>
          <w:shd w:val="clear" w:color="auto" w:fill="FFFFFF"/>
        </w:rPr>
        <w:t>qui tam</w:t>
      </w:r>
      <w:r>
        <w:rPr>
          <w:rFonts w:ascii="Times New Roman" w:eastAsia="Times New Roman" w:hAnsi="Times New Roman" w:cs="Times New Roman"/>
          <w:sz w:val="24"/>
          <w:szCs w:val="24"/>
          <w:shd w:val="clear" w:color="auto" w:fill="FFFFFF"/>
        </w:rPr>
        <w:t xml:space="preserve"> </w:t>
      </w:r>
      <w:r w:rsidRPr="002A6A08">
        <w:rPr>
          <w:rFonts w:ascii="Times New Roman" w:eastAsia="Times New Roman" w:hAnsi="Times New Roman" w:cs="Times New Roman"/>
          <w:sz w:val="24"/>
          <w:szCs w:val="24"/>
          <w:shd w:val="clear" w:color="auto" w:fill="FFFFFF"/>
        </w:rPr>
        <w:t>lawsuit under the FCA was filed alleging that improperly licensed or supervised staff members at a mental health clinic were treating a patient in violation of state health regulations and submitting requests</w:t>
      </w:r>
      <w:r>
        <w:rPr>
          <w:rFonts w:ascii="Times New Roman" w:eastAsia="Times New Roman" w:hAnsi="Times New Roman" w:cs="Times New Roman"/>
          <w:sz w:val="24"/>
          <w:szCs w:val="24"/>
          <w:shd w:val="clear" w:color="auto" w:fill="FFFFFF"/>
        </w:rPr>
        <w:t xml:space="preserve"> for payment through Medicaid.</w:t>
      </w:r>
      <w:r w:rsidR="00D87FB9">
        <w:rPr>
          <w:rFonts w:ascii="Times New Roman" w:eastAsia="Times New Roman" w:hAnsi="Times New Roman" w:cs="Times New Roman"/>
          <w:sz w:val="24"/>
          <w:szCs w:val="24"/>
          <w:shd w:val="clear" w:color="auto" w:fill="FFFFFF"/>
        </w:rPr>
        <w:t xml:space="preserve"> </w:t>
      </w:r>
      <w:r w:rsidRPr="002A6A08">
        <w:rPr>
          <w:rFonts w:ascii="Times New Roman" w:eastAsia="Times New Roman" w:hAnsi="Times New Roman" w:cs="Times New Roman"/>
          <w:sz w:val="24"/>
          <w:szCs w:val="24"/>
          <w:shd w:val="clear" w:color="auto" w:fill="FFFFFF"/>
        </w:rPr>
        <w:t>The contention was that even though the provider did not expressly certify compliance with specific state health regulations in its requests for payment, the provider could still be liable under the FCA for impliedly certifying that it was following mental health servic</w:t>
      </w:r>
      <w:r>
        <w:rPr>
          <w:rFonts w:ascii="Times New Roman" w:eastAsia="Times New Roman" w:hAnsi="Times New Roman" w:cs="Times New Roman"/>
          <w:sz w:val="24"/>
          <w:szCs w:val="24"/>
          <w:shd w:val="clear" w:color="auto" w:fill="FFFFFF"/>
        </w:rPr>
        <w:t>e regulations within the state.</w:t>
      </w:r>
    </w:p>
    <w:p w:rsidR="00C64F37" w:rsidRDefault="00C64F37" w:rsidP="00C64F37">
      <w:pPr>
        <w:shd w:val="clear" w:color="auto" w:fill="FFFFFF"/>
        <w:spacing w:after="0" w:line="240" w:lineRule="auto"/>
        <w:jc w:val="both"/>
        <w:rPr>
          <w:rFonts w:ascii="Times New Roman" w:eastAsia="Times New Roman" w:hAnsi="Times New Roman" w:cs="Times New Roman"/>
          <w:sz w:val="24"/>
          <w:szCs w:val="24"/>
        </w:rPr>
      </w:pPr>
    </w:p>
    <w:p w:rsidR="001C47E8" w:rsidRPr="001C47E8" w:rsidRDefault="001C47E8" w:rsidP="00C64F37">
      <w:pPr>
        <w:shd w:val="clear" w:color="auto" w:fill="FFFFFF"/>
        <w:spacing w:after="0" w:line="240" w:lineRule="auto"/>
        <w:jc w:val="both"/>
        <w:rPr>
          <w:rFonts w:ascii="Times New Roman" w:eastAsia="Times New Roman" w:hAnsi="Times New Roman" w:cs="Times New Roman"/>
          <w:sz w:val="24"/>
          <w:szCs w:val="24"/>
        </w:rPr>
      </w:pPr>
      <w:r w:rsidRPr="002A6A08">
        <w:rPr>
          <w:rFonts w:ascii="Times New Roman" w:eastAsia="Times New Roman" w:hAnsi="Times New Roman" w:cs="Times New Roman"/>
          <w:sz w:val="24"/>
          <w:szCs w:val="24"/>
        </w:rPr>
        <w:t>This case amplifies the careful measures that health care providers must take in today’s healthcare marketplace in order to minimize potential exposure for FCA violations. In fact, it only took six days for the U.S. Department of Justice to file its first Notice of Supplemental Authority in another pending FCA case e</w:t>
      </w:r>
      <w:r>
        <w:rPr>
          <w:rFonts w:ascii="Times New Roman" w:eastAsia="Times New Roman" w:hAnsi="Times New Roman" w:cs="Times New Roman"/>
          <w:sz w:val="24"/>
          <w:szCs w:val="24"/>
        </w:rPr>
        <w:t>xplaining the Department’s offi</w:t>
      </w:r>
      <w:r w:rsidR="00D87FB9">
        <w:rPr>
          <w:rFonts w:ascii="Times New Roman" w:eastAsia="Times New Roman" w:hAnsi="Times New Roman" w:cs="Times New Roman"/>
          <w:sz w:val="24"/>
          <w:szCs w:val="24"/>
        </w:rPr>
        <w:t>c</w:t>
      </w:r>
      <w:r w:rsidRPr="002A6A08">
        <w:rPr>
          <w:rFonts w:ascii="Times New Roman" w:eastAsia="Times New Roman" w:hAnsi="Times New Roman" w:cs="Times New Roman"/>
          <w:sz w:val="24"/>
          <w:szCs w:val="24"/>
        </w:rPr>
        <w:t>ial position as it relates to the</w:t>
      </w:r>
      <w:r>
        <w:rPr>
          <w:rFonts w:ascii="Times New Roman" w:eastAsia="Times New Roman" w:hAnsi="Times New Roman" w:cs="Times New Roman"/>
          <w:sz w:val="24"/>
          <w:szCs w:val="24"/>
        </w:rPr>
        <w:t xml:space="preserve"> “</w:t>
      </w:r>
      <w:r w:rsidRPr="002A6A08">
        <w:rPr>
          <w:rFonts w:ascii="Times New Roman" w:eastAsia="Times New Roman" w:hAnsi="Times New Roman" w:cs="Times New Roman"/>
          <w:i/>
          <w:iCs/>
          <w:sz w:val="24"/>
          <w:szCs w:val="24"/>
        </w:rPr>
        <w:t>Escobar</w:t>
      </w:r>
      <w:r>
        <w:rPr>
          <w:rFonts w:ascii="Times New Roman" w:eastAsia="Times New Roman" w:hAnsi="Times New Roman" w:cs="Times New Roman"/>
          <w:sz w:val="24"/>
          <w:szCs w:val="24"/>
        </w:rPr>
        <w:t xml:space="preserve">” </w:t>
      </w:r>
      <w:r w:rsidRPr="002A6A08">
        <w:rPr>
          <w:rFonts w:ascii="Times New Roman" w:eastAsia="Times New Roman" w:hAnsi="Times New Roman" w:cs="Times New Roman"/>
          <w:sz w:val="24"/>
          <w:szCs w:val="24"/>
        </w:rPr>
        <w:t>decision and this expansi</w:t>
      </w:r>
      <w:r>
        <w:rPr>
          <w:rFonts w:ascii="Times New Roman" w:eastAsia="Times New Roman" w:hAnsi="Times New Roman" w:cs="Times New Roman"/>
          <w:sz w:val="24"/>
          <w:szCs w:val="24"/>
        </w:rPr>
        <w:t>on of potential FCA liability.</w:t>
      </w:r>
    </w:p>
    <w:p w:rsidR="001C47E8" w:rsidRPr="001C47E8" w:rsidRDefault="001C47E8" w:rsidP="00C64F37">
      <w:pPr>
        <w:spacing w:after="0" w:line="240" w:lineRule="auto"/>
        <w:jc w:val="both"/>
        <w:rPr>
          <w:rFonts w:ascii="Times New Roman" w:eastAsia="Times New Roman" w:hAnsi="Times New Roman" w:cs="Times New Roman"/>
          <w:color w:val="4472C4" w:themeColor="accent5"/>
          <w:sz w:val="24"/>
          <w:szCs w:val="24"/>
          <w:shd w:val="clear" w:color="auto" w:fill="FFFFFF"/>
        </w:rPr>
      </w:pPr>
      <w:r>
        <w:rPr>
          <w:rFonts w:ascii="Times New Roman" w:eastAsia="Times New Roman" w:hAnsi="Times New Roman" w:cs="Times New Roman"/>
          <w:sz w:val="24"/>
          <w:szCs w:val="24"/>
          <w:shd w:val="clear" w:color="auto" w:fill="FFFFFF"/>
        </w:rPr>
        <w:t>Read the full “</w:t>
      </w:r>
      <w:r w:rsidRPr="002A6A08">
        <w:rPr>
          <w:rFonts w:ascii="Times New Roman" w:eastAsia="Times New Roman" w:hAnsi="Times New Roman" w:cs="Times New Roman"/>
          <w:i/>
          <w:iCs/>
          <w:sz w:val="24"/>
          <w:szCs w:val="24"/>
          <w:shd w:val="clear" w:color="auto" w:fill="FFFFFF"/>
        </w:rPr>
        <w:t>Escobar</w:t>
      </w:r>
      <w:r>
        <w:rPr>
          <w:rFonts w:ascii="Times New Roman" w:eastAsia="Times New Roman" w:hAnsi="Times New Roman" w:cs="Times New Roman"/>
          <w:sz w:val="24"/>
          <w:szCs w:val="24"/>
          <w:shd w:val="clear" w:color="auto" w:fill="FFFFFF"/>
        </w:rPr>
        <w:t xml:space="preserve">” opinion here: </w:t>
      </w:r>
      <w:hyperlink r:id="rId8" w:tgtFrame="_blank" w:history="1">
        <w:r w:rsidRPr="001C47E8">
          <w:rPr>
            <w:rFonts w:ascii="Times New Roman" w:eastAsia="Times New Roman" w:hAnsi="Times New Roman" w:cs="Times New Roman"/>
            <w:color w:val="4472C4" w:themeColor="accent5"/>
            <w:sz w:val="24"/>
            <w:szCs w:val="24"/>
            <w:u w:val="single"/>
            <w:shd w:val="clear" w:color="auto" w:fill="FFFFFF"/>
          </w:rPr>
          <w:t>https://www.supremecourt.gov/opinions/15pdf/15-7_a074.pdf</w:t>
        </w:r>
      </w:hyperlink>
    </w:p>
    <w:p w:rsidR="00C64F37" w:rsidRDefault="00C64F37" w:rsidP="00DC354F">
      <w:pPr>
        <w:ind w:firstLine="720"/>
        <w:jc w:val="both"/>
        <w:rPr>
          <w:rFonts w:ascii="Times New Roman" w:eastAsia="Times New Roman" w:hAnsi="Times New Roman" w:cs="Times New Roman"/>
          <w:b/>
          <w:sz w:val="24"/>
          <w:szCs w:val="24"/>
          <w:shd w:val="clear" w:color="auto" w:fill="FFFFFF"/>
        </w:rPr>
      </w:pPr>
    </w:p>
    <w:p w:rsidR="001C47E8" w:rsidRPr="00DC354F" w:rsidRDefault="00DC354F" w:rsidP="00DC354F">
      <w:pPr>
        <w:ind w:firstLine="720"/>
        <w:jc w:val="both"/>
        <w:rPr>
          <w:rFonts w:ascii="Times New Roman" w:hAnsi="Times New Roman" w:cs="Times New Roman"/>
          <w:b/>
          <w:sz w:val="24"/>
          <w:szCs w:val="24"/>
        </w:rPr>
      </w:pPr>
      <w:r w:rsidRPr="00DC354F">
        <w:rPr>
          <w:rFonts w:ascii="Times New Roman" w:eastAsia="Times New Roman" w:hAnsi="Times New Roman" w:cs="Times New Roman"/>
          <w:b/>
          <w:sz w:val="24"/>
          <w:szCs w:val="24"/>
          <w:shd w:val="clear" w:color="auto" w:fill="FFFFFF"/>
        </w:rPr>
        <w:t>Submitted b</w:t>
      </w:r>
      <w:r w:rsidR="00013B29" w:rsidRPr="00DC354F">
        <w:rPr>
          <w:rFonts w:ascii="Times New Roman" w:eastAsia="Times New Roman" w:hAnsi="Times New Roman" w:cs="Times New Roman"/>
          <w:b/>
          <w:sz w:val="24"/>
          <w:szCs w:val="24"/>
          <w:shd w:val="clear" w:color="auto" w:fill="FFFFFF"/>
        </w:rPr>
        <w:t>y: Jeffrey Mustari, Esq.</w:t>
      </w:r>
    </w:p>
    <w:p w:rsidR="009D1751" w:rsidRPr="00013B29" w:rsidRDefault="00EF7BF2" w:rsidP="00013B29">
      <w:pPr>
        <w:jc w:val="center"/>
        <w:rPr>
          <w:rFonts w:ascii="Times New Roman" w:hAnsi="Times New Roman" w:cs="Times New Roman"/>
          <w:sz w:val="24"/>
          <w:szCs w:val="24"/>
        </w:rPr>
      </w:pPr>
      <w:r>
        <w:rPr>
          <w:rFonts w:ascii="Times New Roman" w:hAnsi="Times New Roman" w:cs="Times New Roman"/>
          <w:sz w:val="24"/>
          <w:szCs w:val="24"/>
        </w:rPr>
        <w:br w:type="page"/>
      </w:r>
      <w:r w:rsidR="009D1751" w:rsidRPr="00D87FB9">
        <w:rPr>
          <w:rFonts w:ascii="Times New Roman" w:hAnsi="Times New Roman" w:cs="Times New Roman"/>
          <w:b/>
          <w:sz w:val="28"/>
          <w:szCs w:val="28"/>
          <w:lang w:val="en-CA"/>
        </w:rPr>
        <w:lastRenderedPageBreak/>
        <w:t>PROFESSIONAL AND FACILITY LICENSURE</w:t>
      </w:r>
    </w:p>
    <w:p w:rsidR="00D87FB9" w:rsidRDefault="00D87FB9" w:rsidP="00D87FB9">
      <w:pPr>
        <w:spacing w:after="0" w:line="240" w:lineRule="auto"/>
        <w:jc w:val="both"/>
        <w:rPr>
          <w:rFonts w:ascii="Times New Roman" w:hAnsi="Times New Roman" w:cs="Times New Roman"/>
          <w:sz w:val="24"/>
          <w:szCs w:val="24"/>
          <w:lang w:val="en-CA"/>
        </w:rPr>
      </w:pPr>
    </w:p>
    <w:p w:rsidR="00D87FB9" w:rsidRPr="00120FE6" w:rsidRDefault="009D1751" w:rsidP="00D87FB9">
      <w:pPr>
        <w:spacing w:after="0" w:line="240" w:lineRule="auto"/>
        <w:jc w:val="both"/>
        <w:rPr>
          <w:rFonts w:ascii="Times New Roman" w:hAnsi="Times New Roman" w:cs="Times New Roman"/>
          <w:b/>
        </w:rPr>
      </w:pPr>
      <w:r w:rsidRPr="00120FE6">
        <w:rPr>
          <w:rFonts w:ascii="Times New Roman" w:hAnsi="Times New Roman" w:cs="Times New Roman"/>
          <w:b/>
          <w:lang w:val="en-CA"/>
        </w:rPr>
        <w:fldChar w:fldCharType="begin"/>
      </w:r>
      <w:r w:rsidRPr="00120FE6">
        <w:rPr>
          <w:rFonts w:ascii="Times New Roman" w:hAnsi="Times New Roman" w:cs="Times New Roman"/>
          <w:b/>
          <w:lang w:val="en-CA"/>
        </w:rPr>
        <w:instrText xml:space="preserve"> SEQ CHAPTER \h \r 1</w:instrText>
      </w:r>
      <w:r w:rsidRPr="00120FE6">
        <w:rPr>
          <w:rFonts w:ascii="Times New Roman" w:hAnsi="Times New Roman" w:cs="Times New Roman"/>
          <w:b/>
          <w:lang w:val="en-CA"/>
        </w:rPr>
        <w:fldChar w:fldCharType="end"/>
      </w:r>
      <w:r w:rsidRPr="00120FE6">
        <w:rPr>
          <w:rFonts w:ascii="Times New Roman" w:hAnsi="Times New Roman" w:cs="Times New Roman"/>
          <w:b/>
          <w:u w:val="single"/>
        </w:rPr>
        <w:t>Licensed Health Care Clinic Liable for Medical Director's Failure to Fulfil</w:t>
      </w:r>
      <w:r w:rsidR="00D87FB9" w:rsidRPr="00120FE6">
        <w:rPr>
          <w:rFonts w:ascii="Times New Roman" w:hAnsi="Times New Roman" w:cs="Times New Roman"/>
          <w:b/>
          <w:u w:val="single"/>
        </w:rPr>
        <w:t>l</w:t>
      </w:r>
      <w:r w:rsidRPr="00120FE6">
        <w:rPr>
          <w:rFonts w:ascii="Times New Roman" w:hAnsi="Times New Roman" w:cs="Times New Roman"/>
          <w:b/>
          <w:u w:val="single"/>
        </w:rPr>
        <w:t xml:space="preserve"> Statutory Duties</w:t>
      </w:r>
    </w:p>
    <w:p w:rsidR="00C64F37" w:rsidRDefault="00C64F37" w:rsidP="00D87FB9">
      <w:pPr>
        <w:spacing w:after="0" w:line="240" w:lineRule="auto"/>
        <w:jc w:val="both"/>
        <w:rPr>
          <w:rFonts w:ascii="Times New Roman" w:hAnsi="Times New Roman" w:cs="Times New Roman"/>
          <w:sz w:val="24"/>
          <w:szCs w:val="24"/>
        </w:rPr>
      </w:pPr>
    </w:p>
    <w:p w:rsidR="009D1751" w:rsidRPr="002A6A08" w:rsidRDefault="009D1751" w:rsidP="00D87FB9">
      <w:pPr>
        <w:spacing w:after="0" w:line="240" w:lineRule="auto"/>
        <w:jc w:val="both"/>
        <w:rPr>
          <w:rFonts w:ascii="Times New Roman" w:hAnsi="Times New Roman" w:cs="Times New Roman"/>
          <w:sz w:val="24"/>
          <w:szCs w:val="24"/>
        </w:rPr>
      </w:pPr>
      <w:r w:rsidRPr="002A6A08">
        <w:rPr>
          <w:rFonts w:ascii="Times New Roman" w:hAnsi="Times New Roman" w:cs="Times New Roman"/>
          <w:sz w:val="24"/>
          <w:szCs w:val="24"/>
        </w:rPr>
        <w:t>Health Care Clinics are liable for their Medical Director's failure to fulfil</w:t>
      </w:r>
      <w:r w:rsidR="00D87FB9">
        <w:rPr>
          <w:rFonts w:ascii="Times New Roman" w:hAnsi="Times New Roman" w:cs="Times New Roman"/>
          <w:sz w:val="24"/>
          <w:szCs w:val="24"/>
        </w:rPr>
        <w:t>l</w:t>
      </w:r>
      <w:r w:rsidRPr="002A6A08">
        <w:rPr>
          <w:rFonts w:ascii="Times New Roman" w:hAnsi="Times New Roman" w:cs="Times New Roman"/>
          <w:sz w:val="24"/>
          <w:szCs w:val="24"/>
        </w:rPr>
        <w:t xml:space="preserve"> their statutory duties.  </w:t>
      </w:r>
      <w:r w:rsidRPr="007168F9">
        <w:rPr>
          <w:rFonts w:ascii="Times New Roman" w:hAnsi="Times New Roman" w:cs="Times New Roman"/>
          <w:i/>
          <w:sz w:val="24"/>
          <w:szCs w:val="24"/>
        </w:rPr>
        <w:t>Allstate Ins. Co. et al. v. Vizcay, M.D.,</w:t>
      </w:r>
      <w:r w:rsidRPr="002A6A08">
        <w:rPr>
          <w:rFonts w:ascii="Times New Roman" w:hAnsi="Times New Roman" w:cs="Times New Roman"/>
          <w:sz w:val="24"/>
          <w:szCs w:val="24"/>
        </w:rPr>
        <w:t xml:space="preserve"> No. 14-13947 (11th Cir. June 23, 2016).  The plaintiff insurance companies filed suit in the U.S. District Court for the Middle District of Florida alleging multiple claims against several licensed Health Care Clinics, and their medical director, Dr. Vizcay.  The jury found the clinics liable to the insurance companies for fraud, negligent misrepresentation, and unjust enrichment because Dr. Vizcay failed to systematically review the clinics' billings.  </w:t>
      </w:r>
      <w:r w:rsidRPr="002A6A08">
        <w:rPr>
          <w:rFonts w:ascii="Times New Roman" w:hAnsi="Times New Roman" w:cs="Times New Roman"/>
          <w:sz w:val="24"/>
          <w:szCs w:val="24"/>
          <w:u w:val="single"/>
        </w:rPr>
        <w:t>Id.</w:t>
      </w:r>
      <w:r w:rsidRPr="002A6A08">
        <w:rPr>
          <w:rFonts w:ascii="Times New Roman" w:hAnsi="Times New Roman" w:cs="Times New Roman"/>
          <w:sz w:val="24"/>
          <w:szCs w:val="24"/>
        </w:rPr>
        <w:t xml:space="preserve">  The trial court also granted the insurance companies declaratory relief removing any obligation the insurance companies had to pay outstanding claims for the time when the clinics were operating in violation of the Health Care Clinic Act.  </w:t>
      </w:r>
      <w:r w:rsidRPr="002A6A08">
        <w:rPr>
          <w:rFonts w:ascii="Times New Roman" w:hAnsi="Times New Roman" w:cs="Times New Roman"/>
          <w:sz w:val="24"/>
          <w:szCs w:val="24"/>
          <w:u w:val="single"/>
        </w:rPr>
        <w:t>Id.</w:t>
      </w:r>
      <w:r w:rsidRPr="002A6A08">
        <w:rPr>
          <w:rFonts w:ascii="Times New Roman" w:hAnsi="Times New Roman" w:cs="Times New Roman"/>
          <w:sz w:val="24"/>
          <w:szCs w:val="24"/>
        </w:rPr>
        <w:t xml:space="preserve">  </w:t>
      </w:r>
    </w:p>
    <w:p w:rsidR="00013B29" w:rsidRDefault="00013B29" w:rsidP="00D87FB9">
      <w:pPr>
        <w:spacing w:after="0" w:line="240" w:lineRule="auto"/>
        <w:jc w:val="both"/>
        <w:rPr>
          <w:rFonts w:ascii="Times New Roman" w:hAnsi="Times New Roman" w:cs="Times New Roman"/>
          <w:sz w:val="24"/>
          <w:szCs w:val="24"/>
        </w:rPr>
      </w:pPr>
    </w:p>
    <w:p w:rsidR="009D1751" w:rsidRDefault="009D1751" w:rsidP="00D87FB9">
      <w:pPr>
        <w:spacing w:after="0" w:line="240" w:lineRule="auto"/>
        <w:jc w:val="both"/>
        <w:rPr>
          <w:rFonts w:ascii="Times New Roman" w:hAnsi="Times New Roman" w:cs="Times New Roman"/>
          <w:sz w:val="24"/>
          <w:szCs w:val="24"/>
        </w:rPr>
      </w:pPr>
      <w:r w:rsidRPr="002A6A08">
        <w:rPr>
          <w:rFonts w:ascii="Times New Roman" w:hAnsi="Times New Roman" w:cs="Times New Roman"/>
          <w:sz w:val="24"/>
          <w:szCs w:val="24"/>
        </w:rPr>
        <w:t>The clinics argued on appeal that the clinics could not be held liable when a medical director failed to fulfil</w:t>
      </w:r>
      <w:r w:rsidR="00D87FB9">
        <w:rPr>
          <w:rFonts w:ascii="Times New Roman" w:hAnsi="Times New Roman" w:cs="Times New Roman"/>
          <w:sz w:val="24"/>
          <w:szCs w:val="24"/>
        </w:rPr>
        <w:t>l</w:t>
      </w:r>
      <w:r w:rsidRPr="002A6A08">
        <w:rPr>
          <w:rFonts w:ascii="Times New Roman" w:hAnsi="Times New Roman" w:cs="Times New Roman"/>
          <w:sz w:val="24"/>
          <w:szCs w:val="24"/>
        </w:rPr>
        <w:t xml:space="preserve"> the medical director's statutory duties.  The Court disagreed because under the Health Care Clinic Act, the medical director accepted legal responsibility for the medical director's duties on behalf of the clinic.  The Health Care Clinic Act requires medical directors to accept legal responsibility for specific duties enumerated in the Act on behalf of the licensed clinic.  Section 400.9935(1), Fla. Stat. (2016).</w:t>
      </w:r>
    </w:p>
    <w:p w:rsidR="00D87FB9" w:rsidRPr="002A6A08" w:rsidRDefault="00D87FB9" w:rsidP="00D87FB9">
      <w:pPr>
        <w:spacing w:after="0" w:line="240" w:lineRule="auto"/>
        <w:jc w:val="both"/>
        <w:rPr>
          <w:rFonts w:ascii="Times New Roman" w:hAnsi="Times New Roman" w:cs="Times New Roman"/>
          <w:sz w:val="24"/>
          <w:szCs w:val="24"/>
        </w:rPr>
      </w:pPr>
    </w:p>
    <w:p w:rsidR="00D87FB9" w:rsidRDefault="009D1751" w:rsidP="007168F9">
      <w:pPr>
        <w:spacing w:after="0" w:line="240" w:lineRule="auto"/>
        <w:jc w:val="both"/>
        <w:rPr>
          <w:rFonts w:ascii="Times New Roman" w:hAnsi="Times New Roman" w:cs="Times New Roman"/>
          <w:sz w:val="24"/>
          <w:szCs w:val="24"/>
        </w:rPr>
      </w:pPr>
      <w:r w:rsidRPr="002A6A08">
        <w:rPr>
          <w:rFonts w:ascii="Times New Roman" w:hAnsi="Times New Roman" w:cs="Times New Roman"/>
          <w:sz w:val="24"/>
          <w:szCs w:val="24"/>
        </w:rPr>
        <w:t>Attorneys with licensed Health Care Clinic clients may want to remind their clients that the medical directors' duties enumerated in the Health Care Clinic Act are not merely elements to include in the written contract.  The medical director is required to fulfi</w:t>
      </w:r>
      <w:r w:rsidR="00013B29">
        <w:rPr>
          <w:rFonts w:ascii="Times New Roman" w:hAnsi="Times New Roman" w:cs="Times New Roman"/>
          <w:sz w:val="24"/>
          <w:szCs w:val="24"/>
        </w:rPr>
        <w:t>l</w:t>
      </w:r>
      <w:r w:rsidRPr="002A6A08">
        <w:rPr>
          <w:rFonts w:ascii="Times New Roman" w:hAnsi="Times New Roman" w:cs="Times New Roman"/>
          <w:sz w:val="24"/>
          <w:szCs w:val="24"/>
        </w:rPr>
        <w:t>l those duties.</w:t>
      </w:r>
    </w:p>
    <w:p w:rsidR="007168F9" w:rsidRDefault="007168F9" w:rsidP="007168F9">
      <w:pPr>
        <w:spacing w:after="0" w:line="240" w:lineRule="auto"/>
        <w:ind w:firstLine="720"/>
        <w:jc w:val="both"/>
        <w:rPr>
          <w:rFonts w:ascii="Times New Roman" w:hAnsi="Times New Roman" w:cs="Times New Roman"/>
          <w:b/>
          <w:sz w:val="24"/>
          <w:szCs w:val="24"/>
        </w:rPr>
      </w:pPr>
    </w:p>
    <w:p w:rsidR="009D1751" w:rsidRPr="00DC354F" w:rsidRDefault="009D1751" w:rsidP="007168F9">
      <w:pPr>
        <w:spacing w:after="0" w:line="240" w:lineRule="auto"/>
        <w:ind w:firstLine="720"/>
        <w:jc w:val="both"/>
        <w:rPr>
          <w:rFonts w:ascii="Times New Roman" w:hAnsi="Times New Roman" w:cs="Times New Roman"/>
          <w:b/>
          <w:sz w:val="24"/>
          <w:szCs w:val="24"/>
        </w:rPr>
      </w:pPr>
      <w:r w:rsidRPr="00DC354F">
        <w:rPr>
          <w:rFonts w:ascii="Times New Roman" w:hAnsi="Times New Roman" w:cs="Times New Roman"/>
          <w:b/>
          <w:sz w:val="24"/>
          <w:szCs w:val="24"/>
        </w:rPr>
        <w:t>Submitted by Michael L. Smith</w:t>
      </w:r>
      <w:r w:rsidR="00C64F37">
        <w:rPr>
          <w:rFonts w:ascii="Times New Roman" w:hAnsi="Times New Roman" w:cs="Times New Roman"/>
          <w:b/>
          <w:sz w:val="24"/>
          <w:szCs w:val="24"/>
        </w:rPr>
        <w:t xml:space="preserve">, Esq. </w:t>
      </w:r>
    </w:p>
    <w:p w:rsidR="00D87FB9" w:rsidRDefault="00D87FB9" w:rsidP="007168F9">
      <w:pPr>
        <w:rPr>
          <w:rFonts w:ascii="Times New Roman" w:hAnsi="Times New Roman" w:cs="Times New Roman"/>
          <w:b/>
          <w:sz w:val="24"/>
          <w:szCs w:val="24"/>
        </w:rPr>
      </w:pPr>
    </w:p>
    <w:p w:rsidR="00D561CE" w:rsidRPr="00120FE6" w:rsidRDefault="00D561CE" w:rsidP="007168F9">
      <w:pPr>
        <w:rPr>
          <w:rFonts w:ascii="Times New Roman" w:hAnsi="Times New Roman" w:cs="Times New Roman"/>
          <w:b/>
          <w:i/>
          <w:u w:val="single"/>
        </w:rPr>
      </w:pPr>
      <w:r w:rsidRPr="00120FE6">
        <w:rPr>
          <w:rStyle w:val="Emphasis"/>
          <w:rFonts w:ascii="Times New Roman" w:hAnsi="Times New Roman" w:cs="Times New Roman"/>
          <w:b/>
          <w:i w:val="0"/>
          <w:u w:val="single"/>
        </w:rPr>
        <w:t>In re Bayou Shores</w:t>
      </w:r>
    </w:p>
    <w:p w:rsidR="00B00166" w:rsidRDefault="00B00166" w:rsidP="00B00166">
      <w:pPr>
        <w:spacing w:before="100" w:beforeAutospacing="1" w:after="100" w:afterAutospacing="1"/>
        <w:jc w:val="both"/>
        <w:rPr>
          <w:rFonts w:ascii="Acta" w:hAnsi="Acta"/>
          <w:color w:val="222222"/>
          <w:sz w:val="24"/>
          <w:szCs w:val="24"/>
        </w:rPr>
      </w:pPr>
      <w:r>
        <w:rPr>
          <w:rFonts w:ascii="Acta" w:hAnsi="Acta"/>
          <w:color w:val="222222"/>
          <w:sz w:val="24"/>
          <w:szCs w:val="24"/>
        </w:rPr>
        <w:t>A three-judge panel of the Florida 11</w:t>
      </w:r>
      <w:r>
        <w:rPr>
          <w:rFonts w:ascii="Acta" w:hAnsi="Acta"/>
          <w:color w:val="222222"/>
          <w:sz w:val="24"/>
          <w:szCs w:val="24"/>
          <w:vertAlign w:val="superscript"/>
        </w:rPr>
        <w:t>th</w:t>
      </w:r>
      <w:r>
        <w:rPr>
          <w:rFonts w:ascii="Acta" w:hAnsi="Acta"/>
          <w:color w:val="222222"/>
          <w:sz w:val="24"/>
          <w:szCs w:val="24"/>
        </w:rPr>
        <w:t xml:space="preserve"> U.S. Circuit Court of Appeals ruled in July that a bankruptcy court does not have the requisite power to stop health officials from removing a Florida nursing home’s Medicare and Medicaid payments for allegedly violating patient-care regulations. In siding with the U.S. Department of Health and Human Services (“HHS”) and the Florida Agency for Health Care Administration (“AHCA”) in the case against Bayou Shores SNF LLC, a Florida nursing home operator (“Bayou Shores”), the court signaled that health officials ultimately have the power to cut off federal healthcare reimbursement in the face of alternative determinations by a bankruptcy court.</w:t>
      </w:r>
    </w:p>
    <w:p w:rsidR="00B00166" w:rsidRDefault="00B00166" w:rsidP="00B00166">
      <w:pPr>
        <w:spacing w:before="100" w:beforeAutospacing="1" w:after="100" w:afterAutospacing="1"/>
        <w:jc w:val="both"/>
        <w:rPr>
          <w:rFonts w:ascii="Acta" w:hAnsi="Acta"/>
          <w:color w:val="222222"/>
          <w:sz w:val="24"/>
          <w:szCs w:val="24"/>
        </w:rPr>
      </w:pPr>
      <w:r>
        <w:rPr>
          <w:rFonts w:ascii="Acta" w:hAnsi="Acta"/>
          <w:color w:val="222222"/>
          <w:sz w:val="24"/>
          <w:szCs w:val="24"/>
        </w:rPr>
        <w:t xml:space="preserve">The background of the case is as follows: in 2014, state inspectors cited a Bayou Shores operated nursing home in St. Petersburg for certain violations including threats to patient health and safety and informed Bayou Shores that they were terminating Bayou Shores’ Medicare payments (and potentially termination of Medicaid payments among other licensure implications). Bayou Shores then filed for bankruptcy protection under Chapter 11 and requested that the bankruptcy court intervene to block the agencies from terminating such agreements. The bankruptcy judge indeed blocked the termination of the payments, which led HHS and AHCA to appeal to U.S. District Court, where the district judge ruled that the bankruptcy court did not have such jurisdiction. This </w:t>
      </w:r>
      <w:r>
        <w:rPr>
          <w:rFonts w:ascii="Acta" w:hAnsi="Acta"/>
          <w:color w:val="222222"/>
          <w:sz w:val="24"/>
          <w:szCs w:val="24"/>
        </w:rPr>
        <w:lastRenderedPageBreak/>
        <w:t>prompted a further appeal by Bayou Shores to the 11</w:t>
      </w:r>
      <w:r>
        <w:rPr>
          <w:rFonts w:ascii="Acta" w:hAnsi="Acta"/>
          <w:color w:val="222222"/>
          <w:sz w:val="24"/>
          <w:szCs w:val="24"/>
          <w:vertAlign w:val="superscript"/>
        </w:rPr>
        <w:t>th</w:t>
      </w:r>
      <w:r>
        <w:rPr>
          <w:rFonts w:ascii="Acta" w:hAnsi="Acta"/>
          <w:color w:val="222222"/>
          <w:sz w:val="24"/>
          <w:szCs w:val="24"/>
        </w:rPr>
        <w:t xml:space="preserve"> U.S. Circuit Court of Appeals, where the aforementioned three-judge panel issued a detailed ruling on July 11, 2016 upholding the district court’s decision.  </w:t>
      </w:r>
    </w:p>
    <w:p w:rsidR="00B00166" w:rsidRDefault="00B00166" w:rsidP="00B00166">
      <w:pPr>
        <w:spacing w:before="100" w:beforeAutospacing="1" w:after="100" w:afterAutospacing="1"/>
        <w:jc w:val="both"/>
        <w:rPr>
          <w:rFonts w:ascii="Acta" w:hAnsi="Acta"/>
          <w:color w:val="222222"/>
        </w:rPr>
      </w:pPr>
      <w:r>
        <w:rPr>
          <w:rFonts w:ascii="Acta" w:hAnsi="Acta"/>
          <w:color w:val="222222"/>
          <w:sz w:val="24"/>
          <w:szCs w:val="24"/>
        </w:rPr>
        <w:t>The 11</w:t>
      </w:r>
      <w:r>
        <w:rPr>
          <w:rFonts w:ascii="Acta" w:hAnsi="Acta"/>
          <w:color w:val="222222"/>
          <w:sz w:val="24"/>
          <w:szCs w:val="24"/>
          <w:vertAlign w:val="superscript"/>
        </w:rPr>
        <w:t>th</w:t>
      </w:r>
      <w:r>
        <w:rPr>
          <w:rFonts w:ascii="Acta" w:hAnsi="Acta"/>
          <w:color w:val="222222"/>
          <w:sz w:val="24"/>
          <w:szCs w:val="24"/>
        </w:rPr>
        <w:t xml:space="preserve"> Circuit’s opinion (authored by Circuit Judge Clevenger) rules that HHS has been the body tasked by Congress with administering the Medicare Act and regulating Medicare providers such as Bayou Shores. The opinion articulates that the bankruptcy court, by blocking such termination of payments, impermissibly frustrated the statutory directive from Congress for HHS and AHCA to take such action, that can include termination of provider agreements, when there is evidence that the condition of a particular entity “immediately jeopardize(s) the health or safety of its residents.” Additionally, the court stated that bankruptcy courts are simply devoid of the “institutional competence or technical expertise of HHS” to oversee such a vast and complex program as Medicare or to address the issues of nursing home patients and reimbursement/licensure regulations of providers.</w:t>
      </w:r>
    </w:p>
    <w:p w:rsidR="00B00166" w:rsidRDefault="00B00166" w:rsidP="00120FE6">
      <w:pPr>
        <w:spacing w:after="0" w:line="240" w:lineRule="auto"/>
        <w:rPr>
          <w:rFonts w:ascii="Acta" w:hAnsi="Acta"/>
          <w:color w:val="222222"/>
        </w:rPr>
      </w:pPr>
      <w:r>
        <w:rPr>
          <w:rFonts w:ascii="Acta" w:hAnsi="Acta"/>
          <w:color w:val="222222"/>
        </w:rPr>
        <w:t xml:space="preserve">The decision can be read here: </w:t>
      </w:r>
      <w:hyperlink r:id="rId9" w:history="1">
        <w:r>
          <w:rPr>
            <w:rStyle w:val="Hyperlink"/>
            <w:rFonts w:ascii="Acta" w:hAnsi="Acta"/>
          </w:rPr>
          <w:t>http://media.ca11.uscourts.gov/opinions/pub/files/201513731.pdf</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120FE6" w:rsidTr="00E127BD">
        <w:trPr>
          <w:tblCellSpacing w:w="0" w:type="dxa"/>
        </w:trPr>
        <w:tc>
          <w:tcPr>
            <w:tcW w:w="0" w:type="auto"/>
          </w:tcPr>
          <w:p w:rsidR="00120FE6" w:rsidRDefault="00120FE6" w:rsidP="00120FE6">
            <w:pPr>
              <w:spacing w:after="0" w:line="240" w:lineRule="auto"/>
              <w:rPr>
                <w:rFonts w:ascii="Times New Roman" w:hAnsi="Times New Roman"/>
                <w:color w:val="1F497D"/>
                <w:sz w:val="24"/>
                <w:szCs w:val="24"/>
              </w:rPr>
            </w:pPr>
          </w:p>
        </w:tc>
        <w:tc>
          <w:tcPr>
            <w:tcW w:w="0" w:type="auto"/>
          </w:tcPr>
          <w:p w:rsidR="00120FE6" w:rsidRDefault="00120FE6" w:rsidP="00120FE6">
            <w:pPr>
              <w:spacing w:after="0" w:line="240" w:lineRule="auto"/>
              <w:rPr>
                <w:rFonts w:ascii="Times New Roman" w:hAnsi="Times New Roman"/>
                <w:color w:val="1F497D"/>
                <w:sz w:val="24"/>
                <w:szCs w:val="24"/>
              </w:rPr>
            </w:pPr>
          </w:p>
        </w:tc>
      </w:tr>
    </w:tbl>
    <w:p w:rsidR="00B00166" w:rsidRDefault="00B00166" w:rsidP="00120FE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Submitted by Matthew J. Friendly </w:t>
      </w:r>
    </w:p>
    <w:p w:rsidR="00B00166" w:rsidRDefault="00B00166" w:rsidP="007168F9">
      <w:pPr>
        <w:rPr>
          <w:rFonts w:ascii="Times New Roman" w:hAnsi="Times New Roman" w:cs="Times New Roman"/>
          <w:b/>
          <w:sz w:val="24"/>
          <w:szCs w:val="24"/>
        </w:rPr>
      </w:pPr>
    </w:p>
    <w:p w:rsidR="00D87FB9" w:rsidRPr="00D87FB9" w:rsidRDefault="00D87FB9" w:rsidP="007168F9">
      <w:pPr>
        <w:spacing w:after="0" w:line="240" w:lineRule="auto"/>
        <w:jc w:val="center"/>
        <w:rPr>
          <w:rFonts w:ascii="Times New Roman" w:hAnsi="Times New Roman" w:cs="Times New Roman"/>
          <w:b/>
          <w:sz w:val="28"/>
          <w:szCs w:val="28"/>
        </w:rPr>
      </w:pPr>
      <w:r w:rsidRPr="00D87FB9">
        <w:rPr>
          <w:rFonts w:ascii="Times New Roman" w:hAnsi="Times New Roman" w:cs="Times New Roman"/>
          <w:b/>
          <w:sz w:val="28"/>
          <w:szCs w:val="28"/>
        </w:rPr>
        <w:t>HEALTH INFORMATION TECHNOLOGY AND PRIVACY</w:t>
      </w:r>
    </w:p>
    <w:p w:rsidR="00013B29" w:rsidRDefault="00013B29" w:rsidP="007168F9">
      <w:pPr>
        <w:spacing w:after="0" w:line="240" w:lineRule="auto"/>
        <w:rPr>
          <w:rFonts w:ascii="Times New Roman" w:hAnsi="Times New Roman" w:cs="Times New Roman"/>
          <w:b/>
          <w:sz w:val="24"/>
          <w:szCs w:val="24"/>
          <w:u w:val="single"/>
        </w:rPr>
      </w:pPr>
    </w:p>
    <w:p w:rsidR="00013B29" w:rsidRPr="00120FE6" w:rsidRDefault="009D1751" w:rsidP="00C64F37">
      <w:pPr>
        <w:spacing w:after="0" w:line="240" w:lineRule="auto"/>
        <w:rPr>
          <w:rFonts w:ascii="Times New Roman" w:hAnsi="Times New Roman" w:cs="Times New Roman"/>
          <w:b/>
          <w:u w:val="single"/>
        </w:rPr>
      </w:pPr>
      <w:r w:rsidRPr="00120FE6">
        <w:rPr>
          <w:rFonts w:ascii="Times New Roman" w:hAnsi="Times New Roman" w:cs="Times New Roman"/>
          <w:b/>
          <w:u w:val="single"/>
        </w:rPr>
        <w:t>R</w:t>
      </w:r>
      <w:r w:rsidR="00D87FB9" w:rsidRPr="00120FE6">
        <w:rPr>
          <w:rFonts w:ascii="Times New Roman" w:hAnsi="Times New Roman" w:cs="Times New Roman"/>
          <w:b/>
          <w:u w:val="single"/>
        </w:rPr>
        <w:t>ansomware and HIPAA- HHS Issues Guidance</w:t>
      </w:r>
    </w:p>
    <w:p w:rsidR="00C64F37" w:rsidRPr="00120FE6" w:rsidRDefault="00C64F37" w:rsidP="00D87FB9">
      <w:pPr>
        <w:spacing w:after="0" w:line="240" w:lineRule="auto"/>
        <w:jc w:val="both"/>
        <w:rPr>
          <w:rFonts w:ascii="Times New Roman" w:hAnsi="Times New Roman" w:cs="Times New Roman"/>
        </w:rPr>
      </w:pPr>
    </w:p>
    <w:p w:rsidR="009D1751" w:rsidRPr="002A6A08" w:rsidRDefault="009D1751" w:rsidP="00D87FB9">
      <w:pPr>
        <w:spacing w:after="0" w:line="240" w:lineRule="auto"/>
        <w:jc w:val="both"/>
        <w:rPr>
          <w:rFonts w:ascii="Times New Roman" w:hAnsi="Times New Roman" w:cs="Times New Roman"/>
          <w:sz w:val="24"/>
          <w:szCs w:val="24"/>
        </w:rPr>
      </w:pPr>
      <w:r w:rsidRPr="002A6A08">
        <w:rPr>
          <w:rFonts w:ascii="Times New Roman" w:hAnsi="Times New Roman" w:cs="Times New Roman"/>
          <w:sz w:val="24"/>
          <w:szCs w:val="24"/>
        </w:rPr>
        <w:t>Ransomware is a type of malicious software (or “malware”) that is used to hold a user’s data hostage until a ransom is paid.  Although ransomware can take different forms, it typically encrypts the user’s data, with payment of the ransom resulting in delivery of the decryption key.  As IT systems have become critical to healthcare, healthcare entities have become high profile targets for ransomware attacks.  On July 11, 2016, the U.S. Department of Health and Human Services Office for Civil Rights issued guidance in a Fact Sheet titled “Ransomware and HIPAA.”  According to the guidance, ransomware attacks are on the rise, with approximately 4,000 ransomware attacks each day since early 2016.  The guidance, among other things, addresses whether the presence of ransomware results in a security incident and a breach under HIPAA.</w:t>
      </w:r>
    </w:p>
    <w:p w:rsidR="007168F9" w:rsidRDefault="007168F9" w:rsidP="00D87FB9">
      <w:pPr>
        <w:spacing w:after="0" w:line="240" w:lineRule="auto"/>
        <w:jc w:val="both"/>
        <w:rPr>
          <w:rFonts w:ascii="Times New Roman" w:hAnsi="Times New Roman" w:cs="Times New Roman"/>
          <w:i/>
          <w:sz w:val="24"/>
          <w:szCs w:val="24"/>
        </w:rPr>
      </w:pPr>
    </w:p>
    <w:p w:rsidR="009D1751" w:rsidRPr="00D87FB9" w:rsidRDefault="009D1751" w:rsidP="00D87FB9">
      <w:pPr>
        <w:spacing w:after="0" w:line="240" w:lineRule="auto"/>
        <w:jc w:val="both"/>
        <w:rPr>
          <w:rFonts w:ascii="Times New Roman" w:hAnsi="Times New Roman" w:cs="Times New Roman"/>
          <w:i/>
          <w:sz w:val="24"/>
          <w:szCs w:val="24"/>
        </w:rPr>
      </w:pPr>
      <w:r w:rsidRPr="00D87FB9">
        <w:rPr>
          <w:rFonts w:ascii="Times New Roman" w:hAnsi="Times New Roman" w:cs="Times New Roman"/>
          <w:i/>
          <w:sz w:val="24"/>
          <w:szCs w:val="24"/>
        </w:rPr>
        <w:t>Security Incident</w:t>
      </w:r>
    </w:p>
    <w:p w:rsidR="009D1751" w:rsidRPr="002A6A08" w:rsidRDefault="009D1751" w:rsidP="00D87FB9">
      <w:pPr>
        <w:spacing w:after="0" w:line="240" w:lineRule="auto"/>
        <w:jc w:val="both"/>
        <w:rPr>
          <w:rFonts w:ascii="Times New Roman" w:hAnsi="Times New Roman" w:cs="Times New Roman"/>
          <w:sz w:val="24"/>
          <w:szCs w:val="24"/>
        </w:rPr>
      </w:pPr>
      <w:r w:rsidRPr="002A6A08">
        <w:rPr>
          <w:rFonts w:ascii="Times New Roman" w:hAnsi="Times New Roman" w:cs="Times New Roman"/>
          <w:sz w:val="24"/>
          <w:szCs w:val="24"/>
        </w:rPr>
        <w:t>The guidance clarifies that the presence of ransomware on a computer system of a covered entity or a business associate is a security incident under the HIPAA Security Rule, triggering initiation of an entity’s security incident procedures under 45 C.F.R. § 164.308(a)(6).  With respect to a security incident response, the guidance directs users to NIST SP 800-61 Rev. 2, Computer Security Incident Handling Guide, and provides that a response should begin with an initial analysis to determine the scope of the incident, its origination, whether it is finished, and how it occurred.  The guidance also provides that subsequent incident activities should include containing the impact of the ransomware, eradication and mitigation of the ransomware, data recovery, deeper analysis (including regulatory, contractual, and other obligations), and incorporating lessons learned into the entity’s security management process.</w:t>
      </w:r>
    </w:p>
    <w:p w:rsidR="007168F9" w:rsidRDefault="007168F9" w:rsidP="00D87FB9">
      <w:pPr>
        <w:spacing w:after="0" w:line="240" w:lineRule="auto"/>
        <w:jc w:val="both"/>
        <w:rPr>
          <w:rFonts w:ascii="Times New Roman" w:hAnsi="Times New Roman" w:cs="Times New Roman"/>
          <w:i/>
          <w:sz w:val="24"/>
          <w:szCs w:val="24"/>
        </w:rPr>
      </w:pPr>
    </w:p>
    <w:p w:rsidR="00120FE6" w:rsidRDefault="00120FE6" w:rsidP="00D87FB9">
      <w:pPr>
        <w:spacing w:after="0" w:line="240" w:lineRule="auto"/>
        <w:jc w:val="both"/>
        <w:rPr>
          <w:rFonts w:ascii="Times New Roman" w:hAnsi="Times New Roman" w:cs="Times New Roman"/>
          <w:i/>
          <w:sz w:val="24"/>
          <w:szCs w:val="24"/>
        </w:rPr>
      </w:pPr>
    </w:p>
    <w:p w:rsidR="009D1751" w:rsidRPr="00D87FB9" w:rsidRDefault="009D1751" w:rsidP="00D87FB9">
      <w:pPr>
        <w:spacing w:after="0" w:line="240" w:lineRule="auto"/>
        <w:jc w:val="both"/>
        <w:rPr>
          <w:rFonts w:ascii="Times New Roman" w:hAnsi="Times New Roman" w:cs="Times New Roman"/>
          <w:i/>
          <w:sz w:val="24"/>
          <w:szCs w:val="24"/>
        </w:rPr>
      </w:pPr>
      <w:r w:rsidRPr="00D87FB9">
        <w:rPr>
          <w:rFonts w:ascii="Times New Roman" w:hAnsi="Times New Roman" w:cs="Times New Roman"/>
          <w:i/>
          <w:sz w:val="24"/>
          <w:szCs w:val="24"/>
        </w:rPr>
        <w:t>Breach</w:t>
      </w:r>
    </w:p>
    <w:p w:rsidR="009D1751" w:rsidRDefault="009D1751" w:rsidP="00D87FB9">
      <w:pPr>
        <w:spacing w:after="0" w:line="240" w:lineRule="auto"/>
        <w:jc w:val="both"/>
        <w:rPr>
          <w:rFonts w:ascii="Times New Roman" w:hAnsi="Times New Roman" w:cs="Times New Roman"/>
          <w:sz w:val="24"/>
          <w:szCs w:val="24"/>
        </w:rPr>
      </w:pPr>
      <w:r w:rsidRPr="002A6A08">
        <w:rPr>
          <w:rFonts w:ascii="Times New Roman" w:hAnsi="Times New Roman" w:cs="Times New Roman"/>
          <w:sz w:val="24"/>
          <w:szCs w:val="24"/>
        </w:rPr>
        <w:lastRenderedPageBreak/>
        <w:t>The guidance provides that “whether or not the presence of ransomware would be a breach under the HIPAA Rules is a fact-specific determination.” The guidance clarifies, however, that when electronic PHI is encrypted by ransomware, a breach is presumed to have occurred because unauthorized individuals have taken control of the information, resulting in a “disclosure” that is not permitted under the HIPAA Privacy Rule.  The presumption may be rebutted if the covered entity or business associate can demonstrate that there is a low probability that the PHI has been compromised pursuant to a risk assessment that considers at least the following factors:</w:t>
      </w:r>
    </w:p>
    <w:p w:rsidR="007168F9" w:rsidRPr="002A6A08" w:rsidRDefault="007168F9" w:rsidP="00D87FB9">
      <w:pPr>
        <w:spacing w:after="0" w:line="240" w:lineRule="auto"/>
        <w:jc w:val="both"/>
        <w:rPr>
          <w:rFonts w:ascii="Times New Roman" w:hAnsi="Times New Roman" w:cs="Times New Roman"/>
          <w:sz w:val="24"/>
          <w:szCs w:val="24"/>
        </w:rPr>
      </w:pPr>
    </w:p>
    <w:p w:rsidR="009D1751" w:rsidRPr="002A6A08" w:rsidRDefault="009D1751" w:rsidP="00D87FB9">
      <w:pPr>
        <w:pStyle w:val="ListParagraph"/>
        <w:numPr>
          <w:ilvl w:val="0"/>
          <w:numId w:val="1"/>
        </w:numPr>
        <w:spacing w:after="0" w:line="240" w:lineRule="auto"/>
        <w:jc w:val="both"/>
        <w:rPr>
          <w:rFonts w:ascii="Times New Roman" w:hAnsi="Times New Roman"/>
          <w:sz w:val="24"/>
          <w:szCs w:val="24"/>
        </w:rPr>
      </w:pPr>
      <w:r w:rsidRPr="002A6A08">
        <w:rPr>
          <w:rFonts w:ascii="Times New Roman" w:hAnsi="Times New Roman"/>
          <w:sz w:val="24"/>
          <w:szCs w:val="24"/>
        </w:rPr>
        <w:t>The nature and extent of the PHI involved, including the types of identifiers and the likelihood of re-identification;</w:t>
      </w:r>
    </w:p>
    <w:p w:rsidR="009D1751" w:rsidRPr="002A6A08" w:rsidRDefault="009D1751" w:rsidP="00D87FB9">
      <w:pPr>
        <w:pStyle w:val="ListParagraph"/>
        <w:numPr>
          <w:ilvl w:val="0"/>
          <w:numId w:val="1"/>
        </w:numPr>
        <w:spacing w:after="0" w:line="240" w:lineRule="auto"/>
        <w:jc w:val="both"/>
        <w:rPr>
          <w:rFonts w:ascii="Times New Roman" w:hAnsi="Times New Roman"/>
          <w:sz w:val="24"/>
          <w:szCs w:val="24"/>
        </w:rPr>
      </w:pPr>
      <w:r w:rsidRPr="002A6A08">
        <w:rPr>
          <w:rFonts w:ascii="Times New Roman" w:hAnsi="Times New Roman"/>
          <w:sz w:val="24"/>
          <w:szCs w:val="24"/>
        </w:rPr>
        <w:t>The unauthorized person who used the PHI or tom whom the disclosure was made;</w:t>
      </w:r>
    </w:p>
    <w:p w:rsidR="009D1751" w:rsidRPr="002A6A08" w:rsidRDefault="009D1751" w:rsidP="00D87FB9">
      <w:pPr>
        <w:pStyle w:val="ListParagraph"/>
        <w:numPr>
          <w:ilvl w:val="0"/>
          <w:numId w:val="1"/>
        </w:numPr>
        <w:spacing w:after="0" w:line="240" w:lineRule="auto"/>
        <w:jc w:val="both"/>
        <w:rPr>
          <w:rFonts w:ascii="Times New Roman" w:hAnsi="Times New Roman"/>
          <w:sz w:val="24"/>
          <w:szCs w:val="24"/>
        </w:rPr>
      </w:pPr>
      <w:r w:rsidRPr="002A6A08">
        <w:rPr>
          <w:rFonts w:ascii="Times New Roman" w:hAnsi="Times New Roman"/>
          <w:sz w:val="24"/>
          <w:szCs w:val="24"/>
        </w:rPr>
        <w:t>Whether the PHI was actually acquired or viewed; and</w:t>
      </w:r>
    </w:p>
    <w:p w:rsidR="009D1751" w:rsidRPr="002A6A08" w:rsidRDefault="009D1751" w:rsidP="00D87FB9">
      <w:pPr>
        <w:pStyle w:val="ListParagraph"/>
        <w:numPr>
          <w:ilvl w:val="0"/>
          <w:numId w:val="1"/>
        </w:numPr>
        <w:spacing w:after="0" w:line="240" w:lineRule="auto"/>
        <w:jc w:val="both"/>
        <w:rPr>
          <w:rFonts w:ascii="Times New Roman" w:hAnsi="Times New Roman"/>
          <w:sz w:val="24"/>
          <w:szCs w:val="24"/>
        </w:rPr>
      </w:pPr>
      <w:r w:rsidRPr="002A6A08">
        <w:rPr>
          <w:rFonts w:ascii="Times New Roman" w:hAnsi="Times New Roman"/>
          <w:sz w:val="24"/>
          <w:szCs w:val="24"/>
        </w:rPr>
        <w:t>The extent to which the risk to the PHI has been mitigated.</w:t>
      </w:r>
    </w:p>
    <w:p w:rsidR="007168F9" w:rsidRDefault="007168F9" w:rsidP="00D87FB9">
      <w:pPr>
        <w:spacing w:after="0" w:line="240" w:lineRule="auto"/>
        <w:jc w:val="both"/>
        <w:rPr>
          <w:rFonts w:ascii="Times New Roman" w:hAnsi="Times New Roman" w:cs="Times New Roman"/>
          <w:sz w:val="24"/>
          <w:szCs w:val="24"/>
        </w:rPr>
      </w:pPr>
    </w:p>
    <w:p w:rsidR="009D1751" w:rsidRPr="002A6A08" w:rsidRDefault="009D1751" w:rsidP="00D87FB9">
      <w:pPr>
        <w:spacing w:after="0" w:line="240" w:lineRule="auto"/>
        <w:jc w:val="both"/>
        <w:rPr>
          <w:rFonts w:ascii="Times New Roman" w:hAnsi="Times New Roman" w:cs="Times New Roman"/>
          <w:sz w:val="24"/>
          <w:szCs w:val="24"/>
        </w:rPr>
      </w:pPr>
      <w:r w:rsidRPr="002A6A08">
        <w:rPr>
          <w:rFonts w:ascii="Times New Roman" w:hAnsi="Times New Roman" w:cs="Times New Roman"/>
          <w:sz w:val="24"/>
          <w:szCs w:val="24"/>
        </w:rPr>
        <w:t>No such risk assessment is required, however, if the PHI is encrypted consistent with HHS’s Guidance to Render Unsecured Protected Health Information Unusable, Unreadable, or Indecipherable to Unauthorized Individuals, because it would no longer be “unsecured PHI.”  The guidance does clarify that even for encrypted PHI, additional analysis may be required because, for example, ransomware may be able to access the PHI in a decrypted format through an authenticated user, in which case it would again be “unsecured PHI.”</w:t>
      </w:r>
    </w:p>
    <w:p w:rsidR="00DC354F" w:rsidRDefault="00DC354F" w:rsidP="00D87FB9">
      <w:pPr>
        <w:spacing w:after="0" w:line="240" w:lineRule="auto"/>
        <w:jc w:val="both"/>
        <w:rPr>
          <w:rFonts w:ascii="Times New Roman" w:hAnsi="Times New Roman" w:cs="Times New Roman"/>
          <w:sz w:val="24"/>
          <w:szCs w:val="24"/>
        </w:rPr>
      </w:pPr>
    </w:p>
    <w:p w:rsidR="009D1751" w:rsidRPr="00DC354F" w:rsidRDefault="009D1751" w:rsidP="00DC354F">
      <w:pPr>
        <w:spacing w:after="0" w:line="240" w:lineRule="auto"/>
        <w:ind w:firstLine="720"/>
        <w:jc w:val="both"/>
        <w:rPr>
          <w:rFonts w:ascii="Times New Roman" w:hAnsi="Times New Roman" w:cs="Times New Roman"/>
          <w:b/>
          <w:sz w:val="24"/>
          <w:szCs w:val="24"/>
        </w:rPr>
      </w:pPr>
      <w:r w:rsidRPr="00DC354F">
        <w:rPr>
          <w:rFonts w:ascii="Times New Roman" w:hAnsi="Times New Roman" w:cs="Times New Roman"/>
          <w:b/>
          <w:sz w:val="24"/>
          <w:szCs w:val="24"/>
        </w:rPr>
        <w:t>Submitted by Matt Henderson, Esq.</w:t>
      </w:r>
    </w:p>
    <w:p w:rsidR="00D87FB9" w:rsidRDefault="00D87FB9" w:rsidP="00D87FB9">
      <w:pPr>
        <w:spacing w:after="0" w:line="240" w:lineRule="auto"/>
        <w:jc w:val="both"/>
      </w:pPr>
    </w:p>
    <w:p w:rsidR="00DC354F" w:rsidRDefault="00DC354F" w:rsidP="00D87FB9">
      <w:pPr>
        <w:spacing w:after="0" w:line="240" w:lineRule="auto"/>
        <w:jc w:val="center"/>
        <w:rPr>
          <w:rFonts w:ascii="Times New Roman" w:hAnsi="Times New Roman" w:cs="Times New Roman"/>
          <w:b/>
          <w:sz w:val="28"/>
          <w:szCs w:val="28"/>
        </w:rPr>
      </w:pPr>
    </w:p>
    <w:p w:rsidR="00D87FB9" w:rsidRPr="00DC354F" w:rsidRDefault="00D87FB9" w:rsidP="00DC354F">
      <w:pPr>
        <w:spacing w:after="0" w:line="240" w:lineRule="auto"/>
        <w:jc w:val="center"/>
        <w:rPr>
          <w:rFonts w:ascii="Times New Roman" w:hAnsi="Times New Roman" w:cs="Times New Roman"/>
          <w:b/>
          <w:sz w:val="28"/>
          <w:szCs w:val="28"/>
        </w:rPr>
      </w:pPr>
      <w:r w:rsidRPr="00D87FB9">
        <w:rPr>
          <w:rFonts w:ascii="Times New Roman" w:hAnsi="Times New Roman" w:cs="Times New Roman"/>
          <w:b/>
          <w:sz w:val="28"/>
          <w:szCs w:val="28"/>
        </w:rPr>
        <w:t>PUBLIC HEALTH</w:t>
      </w:r>
    </w:p>
    <w:p w:rsidR="009D1751" w:rsidRDefault="008A5B42" w:rsidP="00D87FB9">
      <w:pPr>
        <w:spacing w:after="0" w:line="240" w:lineRule="auto"/>
        <w:jc w:val="both"/>
        <w:rPr>
          <w:rFonts w:ascii="Times New Roman" w:eastAsia="Times New Roman" w:hAnsi="Times New Roman" w:cs="Times New Roman"/>
          <w:color w:val="4472C4" w:themeColor="accent5"/>
          <w:sz w:val="24"/>
          <w:szCs w:val="24"/>
          <w:u w:val="single"/>
        </w:rPr>
      </w:pPr>
      <w:hyperlink r:id="rId10" w:tgtFrame="_blank" w:history="1">
        <w:r w:rsidR="009D1751" w:rsidRPr="001C47E8">
          <w:rPr>
            <w:rFonts w:ascii="Times New Roman" w:eastAsia="Times New Roman" w:hAnsi="Times New Roman" w:cs="Times New Roman"/>
            <w:b/>
            <w:bCs/>
            <w:sz w:val="24"/>
            <w:szCs w:val="24"/>
            <w:u w:val="single"/>
          </w:rPr>
          <w:br/>
          <w:t>Public Health Competency Model: Version 1.0</w:t>
        </w:r>
      </w:hyperlink>
      <w:r w:rsidR="00B263FA">
        <w:rPr>
          <w:rFonts w:ascii="Times New Roman" w:eastAsia="Times New Roman" w:hAnsi="Times New Roman" w:cs="Times New Roman"/>
          <w:b/>
          <w:bCs/>
          <w:sz w:val="24"/>
          <w:szCs w:val="24"/>
          <w:u w:val="single"/>
        </w:rPr>
        <w:t>.</w:t>
      </w:r>
      <w:r w:rsidR="009D1751" w:rsidRPr="002A6A08">
        <w:rPr>
          <w:rFonts w:ascii="Times New Roman" w:eastAsia="Times New Roman" w:hAnsi="Times New Roman" w:cs="Times New Roman"/>
          <w:color w:val="333333"/>
          <w:sz w:val="24"/>
          <w:szCs w:val="24"/>
        </w:rPr>
        <w:t xml:space="preserve"> PHLP's competency model provides a framework for the knowledge, skills, and abilities expected of entry-level, supervisory, and executive-level public health practitioners in public health law. The model is for attorneys, public health practitioners, legal educators, and policy makers seeking a benchmark for satisfactory or exemplary public health law understanding and performance. For more information, please cut and paste the </w:t>
      </w:r>
      <w:r w:rsidR="009D1751">
        <w:rPr>
          <w:rFonts w:ascii="Times New Roman" w:eastAsia="Times New Roman" w:hAnsi="Times New Roman" w:cs="Times New Roman"/>
          <w:color w:val="333333"/>
          <w:sz w:val="24"/>
          <w:szCs w:val="24"/>
        </w:rPr>
        <w:t xml:space="preserve">following link into your browser: </w:t>
      </w:r>
      <w:hyperlink r:id="rId11" w:history="1">
        <w:r w:rsidR="00E82033" w:rsidRPr="00805AEC">
          <w:rPr>
            <w:rStyle w:val="Hyperlink"/>
            <w:rFonts w:ascii="Times New Roman" w:eastAsia="Times New Roman" w:hAnsi="Times New Roman" w:cs="Times New Roman"/>
            <w:sz w:val="24"/>
            <w:szCs w:val="24"/>
          </w:rPr>
          <w:t>http://www.cdc.gov/phlp/docs/phlcm-v1.pdf</w:t>
        </w:r>
      </w:hyperlink>
    </w:p>
    <w:p w:rsidR="00E82033" w:rsidRPr="00EF7BF2" w:rsidRDefault="00E82033" w:rsidP="00D87FB9">
      <w:pPr>
        <w:spacing w:after="0" w:line="240" w:lineRule="auto"/>
        <w:jc w:val="both"/>
        <w:rPr>
          <w:rFonts w:ascii="Times New Roman" w:hAnsi="Times New Roman" w:cs="Times New Roman"/>
          <w:sz w:val="24"/>
          <w:szCs w:val="24"/>
        </w:rPr>
      </w:pPr>
    </w:p>
    <w:p w:rsidR="009D1751" w:rsidRPr="00165918" w:rsidRDefault="008A5B42" w:rsidP="00D87FB9">
      <w:pPr>
        <w:shd w:val="clear" w:color="auto" w:fill="FFFFFF"/>
        <w:spacing w:after="0" w:line="240" w:lineRule="auto"/>
        <w:jc w:val="both"/>
        <w:rPr>
          <w:rFonts w:ascii="Times New Roman" w:eastAsia="Times New Roman" w:hAnsi="Times New Roman" w:cs="Times New Roman"/>
          <w:color w:val="0070C0"/>
          <w:sz w:val="24"/>
          <w:szCs w:val="24"/>
          <w:u w:val="single"/>
        </w:rPr>
      </w:pPr>
      <w:hyperlink r:id="rId12" w:tgtFrame="_blank" w:history="1">
        <w:r w:rsidR="009D1751" w:rsidRPr="001C47E8">
          <w:rPr>
            <w:rFonts w:ascii="Times New Roman" w:eastAsia="Times New Roman" w:hAnsi="Times New Roman" w:cs="Times New Roman"/>
            <w:b/>
            <w:bCs/>
            <w:sz w:val="24"/>
            <w:szCs w:val="24"/>
            <w:u w:val="single"/>
          </w:rPr>
          <w:t>2016 Public Health Law Conference.</w:t>
        </w:r>
      </w:hyperlink>
      <w:r w:rsidR="009D1751">
        <w:rPr>
          <w:rFonts w:ascii="Times New Roman" w:eastAsia="Times New Roman" w:hAnsi="Times New Roman" w:cs="Times New Roman"/>
          <w:color w:val="333333"/>
          <w:sz w:val="24"/>
          <w:szCs w:val="24"/>
        </w:rPr>
        <w:t xml:space="preserve"> </w:t>
      </w:r>
      <w:r w:rsidR="009D1751" w:rsidRPr="002A6A08">
        <w:rPr>
          <w:rFonts w:ascii="Times New Roman" w:eastAsia="Times New Roman" w:hAnsi="Times New Roman" w:cs="Times New Roman"/>
          <w:color w:val="333333"/>
          <w:sz w:val="24"/>
          <w:szCs w:val="24"/>
        </w:rPr>
        <w:t>The Public Health</w:t>
      </w:r>
      <w:r w:rsidR="009D1751">
        <w:rPr>
          <w:rFonts w:ascii="Times New Roman" w:eastAsia="Times New Roman" w:hAnsi="Times New Roman" w:cs="Times New Roman"/>
          <w:color w:val="333333"/>
          <w:sz w:val="24"/>
          <w:szCs w:val="24"/>
        </w:rPr>
        <w:t xml:space="preserve"> Law Conference will take place </w:t>
      </w:r>
      <w:r w:rsidR="009D1751" w:rsidRPr="002A6A08">
        <w:rPr>
          <w:rFonts w:ascii="Times New Roman" w:eastAsia="Times New Roman" w:hAnsi="Times New Roman" w:cs="Times New Roman"/>
          <w:b/>
          <w:bCs/>
          <w:color w:val="333333"/>
          <w:sz w:val="24"/>
          <w:szCs w:val="24"/>
        </w:rPr>
        <w:t>September 15–17, 2016</w:t>
      </w:r>
      <w:r w:rsidR="009D1751" w:rsidRPr="002A6A08">
        <w:rPr>
          <w:rFonts w:ascii="Times New Roman" w:eastAsia="Times New Roman" w:hAnsi="Times New Roman" w:cs="Times New Roman"/>
          <w:color w:val="333333"/>
          <w:sz w:val="24"/>
          <w:szCs w:val="24"/>
        </w:rPr>
        <w:t>, in Washington, DC. The conference, hosted by the Network for Public Health Law, is for public health lawyers, practitioners, officials, policy makers, researchers, and advocates. Conference attendees will learn about laws and policies affecting critical public health issues, such as disease prevention, drug overdose, health data sharing, and access to car</w:t>
      </w:r>
      <w:r w:rsidR="009D1751">
        <w:rPr>
          <w:rFonts w:ascii="Times New Roman" w:eastAsia="Times New Roman" w:hAnsi="Times New Roman" w:cs="Times New Roman"/>
          <w:color w:val="333333"/>
          <w:sz w:val="24"/>
          <w:szCs w:val="24"/>
        </w:rPr>
        <w:t xml:space="preserve">e. Early bird registration ends </w:t>
      </w:r>
      <w:r w:rsidR="009D1751" w:rsidRPr="002A6A08">
        <w:rPr>
          <w:rFonts w:ascii="Times New Roman" w:eastAsia="Times New Roman" w:hAnsi="Times New Roman" w:cs="Times New Roman"/>
          <w:color w:val="333333"/>
          <w:sz w:val="24"/>
          <w:szCs w:val="24"/>
        </w:rPr>
        <w:t>August 16, 2016. A preliminary agenda is available now.</w:t>
      </w:r>
      <w:r w:rsidR="00165918">
        <w:rPr>
          <w:rFonts w:ascii="Times New Roman" w:eastAsia="Times New Roman" w:hAnsi="Times New Roman" w:cs="Times New Roman"/>
          <w:color w:val="333333"/>
          <w:sz w:val="24"/>
          <w:szCs w:val="24"/>
        </w:rPr>
        <w:t xml:space="preserve">  For more information please copy and paste the following link into your browser:  </w:t>
      </w:r>
      <w:r w:rsidR="00165918" w:rsidRPr="00165918">
        <w:rPr>
          <w:rFonts w:ascii="Times New Roman" w:eastAsia="Times New Roman" w:hAnsi="Times New Roman" w:cs="Times New Roman"/>
          <w:color w:val="0070C0"/>
          <w:sz w:val="24"/>
          <w:szCs w:val="24"/>
          <w:u w:val="single"/>
        </w:rPr>
        <w:t>https://www.networkforphl.org/2016_conference/phlc16/</w:t>
      </w:r>
    </w:p>
    <w:p w:rsidR="00E82033" w:rsidRPr="00165918" w:rsidRDefault="00E82033" w:rsidP="00D87FB9">
      <w:pPr>
        <w:shd w:val="clear" w:color="auto" w:fill="FFFFFF"/>
        <w:spacing w:after="0" w:line="240" w:lineRule="auto"/>
        <w:jc w:val="both"/>
        <w:rPr>
          <w:color w:val="0070C0"/>
          <w:u w:val="single"/>
        </w:rPr>
      </w:pPr>
    </w:p>
    <w:p w:rsidR="009D1751" w:rsidRPr="006A7D4E" w:rsidRDefault="008A5B42" w:rsidP="00D87FB9">
      <w:pPr>
        <w:shd w:val="clear" w:color="auto" w:fill="FFFFFF"/>
        <w:spacing w:after="0" w:line="240" w:lineRule="auto"/>
        <w:jc w:val="both"/>
        <w:rPr>
          <w:rFonts w:ascii="Times New Roman" w:eastAsia="Times New Roman" w:hAnsi="Times New Roman" w:cs="Times New Roman"/>
          <w:color w:val="0070C0"/>
          <w:sz w:val="24"/>
          <w:szCs w:val="24"/>
          <w:u w:val="single"/>
        </w:rPr>
      </w:pPr>
      <w:hyperlink r:id="rId13" w:tgtFrame="_blank" w:history="1">
        <w:r w:rsidR="009D1751" w:rsidRPr="001C47E8">
          <w:rPr>
            <w:rFonts w:ascii="Times New Roman" w:eastAsia="Times New Roman" w:hAnsi="Times New Roman" w:cs="Times New Roman"/>
            <w:b/>
            <w:bCs/>
            <w:sz w:val="24"/>
            <w:szCs w:val="24"/>
            <w:u w:val="single"/>
          </w:rPr>
          <w:t>Electronic Health Record Toolkit.</w:t>
        </w:r>
      </w:hyperlink>
      <w:r w:rsidR="009D1751">
        <w:rPr>
          <w:rFonts w:ascii="Times New Roman" w:eastAsia="Times New Roman" w:hAnsi="Times New Roman" w:cs="Times New Roman"/>
          <w:color w:val="333333"/>
          <w:sz w:val="24"/>
          <w:szCs w:val="24"/>
        </w:rPr>
        <w:t xml:space="preserve"> </w:t>
      </w:r>
      <w:r w:rsidR="009D1751" w:rsidRPr="002A6A08">
        <w:rPr>
          <w:rFonts w:ascii="Times New Roman" w:eastAsia="Times New Roman" w:hAnsi="Times New Roman" w:cs="Times New Roman"/>
          <w:color w:val="333333"/>
          <w:sz w:val="24"/>
          <w:szCs w:val="24"/>
        </w:rPr>
        <w:t>Through a collaboration with CDC’s Division for Healthcare Quality Promotion, the Association for State and Territorial Health Officials, and the Keystone Center, PHLP examined the use of law and legal tools to improve access to electronic health record (EHR) systems in healthca</w:t>
      </w:r>
      <w:r w:rsidR="009D1751">
        <w:rPr>
          <w:rFonts w:ascii="Times New Roman" w:eastAsia="Times New Roman" w:hAnsi="Times New Roman" w:cs="Times New Roman"/>
          <w:color w:val="333333"/>
          <w:sz w:val="24"/>
          <w:szCs w:val="24"/>
        </w:rPr>
        <w:t xml:space="preserve">re facilities during outbreaks. </w:t>
      </w:r>
      <w:r w:rsidR="009D1751" w:rsidRPr="002A6A08">
        <w:rPr>
          <w:rFonts w:ascii="Times New Roman" w:eastAsia="Times New Roman" w:hAnsi="Times New Roman" w:cs="Times New Roman"/>
          <w:color w:val="333333"/>
          <w:sz w:val="24"/>
          <w:szCs w:val="24"/>
        </w:rPr>
        <w:t>This toolkit can help health department professionals work with healthcare facilities during outbreaks (including outbreaks of healthcare-associated infections) to secure access to EHR systems and facilitate outbreak investigations.</w:t>
      </w:r>
      <w:r w:rsidR="006A7D4E">
        <w:rPr>
          <w:rFonts w:ascii="Times New Roman" w:eastAsia="Times New Roman" w:hAnsi="Times New Roman" w:cs="Times New Roman"/>
          <w:color w:val="333333"/>
          <w:sz w:val="24"/>
          <w:szCs w:val="24"/>
        </w:rPr>
        <w:t xml:space="preserve">  For </w:t>
      </w:r>
      <w:r w:rsidR="006A7D4E">
        <w:rPr>
          <w:rFonts w:ascii="Times New Roman" w:eastAsia="Times New Roman" w:hAnsi="Times New Roman" w:cs="Times New Roman"/>
          <w:color w:val="333333"/>
          <w:sz w:val="24"/>
          <w:szCs w:val="24"/>
        </w:rPr>
        <w:lastRenderedPageBreak/>
        <w:t xml:space="preserve">more information, please go to:  </w:t>
      </w:r>
      <w:r w:rsidR="006A7D4E" w:rsidRPr="006A7D4E">
        <w:rPr>
          <w:rFonts w:ascii="Times New Roman" w:eastAsia="Times New Roman" w:hAnsi="Times New Roman" w:cs="Times New Roman"/>
          <w:color w:val="0070C0"/>
          <w:sz w:val="24"/>
          <w:szCs w:val="24"/>
          <w:u w:val="single"/>
        </w:rPr>
        <w:t>http://www.astho.org/Toolkit/Improving-Access-to-EHRs-During-Outbreaks/</w:t>
      </w:r>
    </w:p>
    <w:p w:rsidR="00E82033" w:rsidRDefault="00E82033" w:rsidP="00D87FB9">
      <w:pPr>
        <w:shd w:val="clear" w:color="auto" w:fill="FFFFFF"/>
        <w:spacing w:after="0" w:line="240" w:lineRule="auto"/>
        <w:jc w:val="both"/>
        <w:rPr>
          <w:rFonts w:ascii="Times New Roman" w:eastAsia="Times New Roman" w:hAnsi="Times New Roman" w:cs="Times New Roman"/>
          <w:b/>
          <w:bCs/>
          <w:color w:val="333333"/>
          <w:sz w:val="24"/>
          <w:szCs w:val="24"/>
        </w:rPr>
      </w:pPr>
    </w:p>
    <w:p w:rsidR="006A7D4E" w:rsidRDefault="009D1751" w:rsidP="00B263FA">
      <w:pPr>
        <w:shd w:val="clear" w:color="auto" w:fill="FFFFFF"/>
        <w:spacing w:after="0" w:line="240" w:lineRule="auto"/>
        <w:jc w:val="both"/>
        <w:rPr>
          <w:rFonts w:ascii="Times New Roman" w:eastAsia="Times New Roman" w:hAnsi="Times New Roman" w:cs="Times New Roman"/>
          <w:color w:val="333333"/>
          <w:sz w:val="24"/>
          <w:szCs w:val="24"/>
        </w:rPr>
      </w:pPr>
      <w:r w:rsidRPr="00165918">
        <w:rPr>
          <w:rFonts w:ascii="Times New Roman" w:eastAsia="Times New Roman" w:hAnsi="Times New Roman" w:cs="Times New Roman"/>
          <w:b/>
          <w:bCs/>
          <w:color w:val="333333"/>
          <w:sz w:val="24"/>
          <w:szCs w:val="24"/>
          <w:u w:val="single"/>
        </w:rPr>
        <w:t xml:space="preserve">Vermont </w:t>
      </w:r>
      <w:hyperlink r:id="rId14" w:tgtFrame="_blank" w:history="1">
        <w:r w:rsidRPr="001C47E8">
          <w:rPr>
            <w:rFonts w:ascii="Times New Roman" w:eastAsia="Times New Roman" w:hAnsi="Times New Roman" w:cs="Times New Roman"/>
            <w:b/>
            <w:bCs/>
            <w:sz w:val="24"/>
            <w:szCs w:val="24"/>
            <w:u w:val="single"/>
          </w:rPr>
          <w:t>Governor Shumlin makes Vermont first state to require Rx drug price transparency</w:t>
        </w:r>
      </w:hyperlink>
      <w:r w:rsidR="00B263FA">
        <w:rPr>
          <w:rFonts w:ascii="Times New Roman" w:eastAsia="Times New Roman" w:hAnsi="Times New Roman" w:cs="Times New Roman"/>
          <w:b/>
          <w:bCs/>
          <w:sz w:val="24"/>
          <w:szCs w:val="24"/>
          <w:u w:val="single"/>
        </w:rPr>
        <w:t>.</w:t>
      </w:r>
      <w:r w:rsidR="00EF7BF2" w:rsidRPr="00887E05">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333333"/>
          <w:sz w:val="24"/>
          <w:szCs w:val="24"/>
        </w:rPr>
        <w:t xml:space="preserve">Vermont Biz (06/03/2016) </w:t>
      </w:r>
      <w:r w:rsidRPr="002A6A08">
        <w:rPr>
          <w:rFonts w:ascii="Times New Roman" w:eastAsia="Times New Roman" w:hAnsi="Times New Roman" w:cs="Times New Roman"/>
          <w:color w:val="333333"/>
          <w:sz w:val="24"/>
          <w:szCs w:val="24"/>
        </w:rPr>
        <w:t>For a link to the Vermont bill, which was signed into law by Vermont Governor Peter Shumlin, please copy and paste the following link:</w:t>
      </w:r>
    </w:p>
    <w:p w:rsidR="00E82033" w:rsidRPr="006A7D4E" w:rsidRDefault="006A7D4E" w:rsidP="00B263FA">
      <w:pPr>
        <w:shd w:val="clear" w:color="auto" w:fill="FFFFFF"/>
        <w:spacing w:after="0" w:line="240" w:lineRule="auto"/>
        <w:jc w:val="both"/>
        <w:rPr>
          <w:rFonts w:ascii="Times New Roman" w:eastAsia="Times New Roman" w:hAnsi="Times New Roman" w:cs="Times New Roman"/>
          <w:b/>
          <w:color w:val="0070C0"/>
          <w:sz w:val="24"/>
          <w:szCs w:val="24"/>
          <w:u w:val="single"/>
        </w:rPr>
      </w:pPr>
      <w:r w:rsidRPr="006A7D4E">
        <w:rPr>
          <w:rFonts w:ascii="Times New Roman" w:eastAsia="Times New Roman" w:hAnsi="Times New Roman" w:cs="Times New Roman"/>
          <w:color w:val="0070C0"/>
          <w:sz w:val="24"/>
          <w:szCs w:val="24"/>
          <w:u w:val="single"/>
        </w:rPr>
        <w:t>http://legislature.vermont.gov/assets/Documents/2016/Docs/BILLS/S-0216/S-0216%20As%20Passed%20by%20Both%20House%20and%20Senate%20Official.pdf</w:t>
      </w:r>
      <w:r w:rsidR="009D1751" w:rsidRPr="006A7D4E">
        <w:rPr>
          <w:rFonts w:ascii="Times New Roman" w:eastAsia="Times New Roman" w:hAnsi="Times New Roman" w:cs="Times New Roman"/>
          <w:color w:val="0070C0"/>
          <w:sz w:val="24"/>
          <w:szCs w:val="24"/>
          <w:u w:val="single"/>
        </w:rPr>
        <w:br/>
      </w:r>
    </w:p>
    <w:p w:rsidR="00E82033" w:rsidRPr="00013B29" w:rsidRDefault="00013B29" w:rsidP="00887E05">
      <w:pPr>
        <w:pStyle w:val="NormalWeb"/>
        <w:shd w:val="clear" w:color="auto" w:fill="FFFFFF"/>
        <w:spacing w:before="0" w:beforeAutospacing="0" w:after="0" w:afterAutospacing="0"/>
        <w:jc w:val="both"/>
        <w:rPr>
          <w:color w:val="222222"/>
        </w:rPr>
      </w:pPr>
      <w:r w:rsidRPr="00165918">
        <w:rPr>
          <w:b/>
          <w:color w:val="222222"/>
          <w:u w:val="single"/>
        </w:rPr>
        <w:t>Epinephrine Stocking Laws</w:t>
      </w:r>
      <w:r w:rsidR="00B263FA">
        <w:rPr>
          <w:b/>
          <w:color w:val="222222"/>
          <w:u w:val="single"/>
        </w:rPr>
        <w:t>.</w:t>
      </w:r>
      <w:r w:rsidR="00B263FA">
        <w:rPr>
          <w:color w:val="222222"/>
        </w:rPr>
        <w:t xml:space="preserve"> </w:t>
      </w:r>
      <w:r w:rsidR="00B263FA">
        <w:rPr>
          <w:color w:val="222222"/>
        </w:rPr>
        <w:t xml:space="preserve"> </w:t>
      </w:r>
      <w:r w:rsidR="00E82033" w:rsidRPr="00013B29">
        <w:rPr>
          <w:color w:val="222222"/>
        </w:rPr>
        <w:t>In the United States, about 15 million Americans have food allergies; one in every 13 children has this potentially deadly condition. A food allergy reaction sends a patient to the emergency department every three minutes, totaling over 200,000 visits per year. Epinephrine is the first-line treatment for severe or life-threatening allergic reactions, or anaphylaxis. In recent years, a growing number of states have adopted epinephrine entity stocking laws. These laws allow authorized entities like restaurants, amusement parks and sports arenas to obtain and store auto-injectable epinephrine, or EpiPens, and administer the drug to individuals experiencing anaphylaxis. This issue brief and 50-State Survey examine epinephrine stocking laws across the U.S..  More information can be found at:</w:t>
      </w:r>
    </w:p>
    <w:p w:rsidR="00E82033" w:rsidRPr="00013B29" w:rsidRDefault="00E82033" w:rsidP="00887E05">
      <w:pPr>
        <w:pStyle w:val="NormalWeb"/>
        <w:shd w:val="clear" w:color="auto" w:fill="FFFFFF"/>
        <w:spacing w:before="0" w:beforeAutospacing="0" w:after="0" w:afterAutospacing="0"/>
        <w:jc w:val="both"/>
        <w:rPr>
          <w:color w:val="0070C0"/>
          <w:u w:val="single"/>
        </w:rPr>
      </w:pPr>
      <w:r w:rsidRPr="00013B29">
        <w:rPr>
          <w:color w:val="0070C0"/>
          <w:u w:val="single"/>
        </w:rPr>
        <w:t>https://www.networkforphl.org/resources_collection/2016/05/18/778/issue_brief_epinephrine_entity_stocking_laws/?utm_source=Network+Report+5-26-16&amp;utm_campaign=Network+Report+5-26-16&amp;utm_medium=email&amp;utm_content=214</w:t>
      </w:r>
    </w:p>
    <w:p w:rsidR="00E82033" w:rsidRPr="00013B29" w:rsidRDefault="00E82033" w:rsidP="00887E05">
      <w:pPr>
        <w:pStyle w:val="NormalWeb"/>
        <w:shd w:val="clear" w:color="auto" w:fill="FFFFFF"/>
        <w:spacing w:before="0" w:beforeAutospacing="0" w:after="0" w:afterAutospacing="0"/>
        <w:jc w:val="both"/>
        <w:rPr>
          <w:rFonts w:ascii="Arial" w:hAnsi="Arial" w:cs="Arial"/>
          <w:color w:val="0070C0"/>
          <w:sz w:val="19"/>
          <w:szCs w:val="19"/>
          <w:u w:val="single"/>
        </w:rPr>
      </w:pPr>
    </w:p>
    <w:p w:rsidR="00A94BBD" w:rsidRPr="00DC354F" w:rsidRDefault="00DC354F" w:rsidP="00887E05">
      <w:pPr>
        <w:spacing w:after="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ab/>
      </w:r>
      <w:r w:rsidRPr="00DC354F">
        <w:rPr>
          <w:rFonts w:ascii="Times New Roman" w:eastAsia="Times New Roman" w:hAnsi="Times New Roman" w:cs="Times New Roman"/>
          <w:b/>
          <w:color w:val="333333"/>
          <w:sz w:val="24"/>
          <w:szCs w:val="24"/>
        </w:rPr>
        <w:t xml:space="preserve">Submitted by Rodney Johnson, Esq. </w:t>
      </w:r>
    </w:p>
    <w:p w:rsidR="00DC354F" w:rsidRPr="00DC354F" w:rsidRDefault="00DC354F" w:rsidP="006A7D4E">
      <w:pPr>
        <w:spacing w:after="0" w:line="240" w:lineRule="auto"/>
        <w:rPr>
          <w:rFonts w:ascii="Times New Roman" w:eastAsia="Times New Roman" w:hAnsi="Times New Roman" w:cs="Times New Roman"/>
          <w:b/>
          <w:color w:val="333333"/>
          <w:sz w:val="24"/>
          <w:szCs w:val="24"/>
        </w:rPr>
      </w:pPr>
    </w:p>
    <w:p w:rsidR="00DC354F" w:rsidRPr="00DC354F" w:rsidRDefault="009D1751" w:rsidP="00DC354F">
      <w:pPr>
        <w:jc w:val="center"/>
        <w:rPr>
          <w:rFonts w:ascii="Times New Roman" w:hAnsi="Times New Roman" w:cs="Times New Roman"/>
          <w:b/>
          <w:sz w:val="28"/>
          <w:szCs w:val="28"/>
        </w:rPr>
      </w:pPr>
      <w:r w:rsidRPr="00DC354F">
        <w:rPr>
          <w:rFonts w:ascii="Times New Roman" w:hAnsi="Times New Roman" w:cs="Times New Roman"/>
          <w:b/>
          <w:sz w:val="28"/>
          <w:szCs w:val="28"/>
        </w:rPr>
        <w:t>THIRD PARTY PAYORS</w:t>
      </w:r>
    </w:p>
    <w:p w:rsidR="00C64F37" w:rsidRPr="00120FE6" w:rsidRDefault="009D1751" w:rsidP="00DC354F">
      <w:pPr>
        <w:spacing w:after="0" w:line="240" w:lineRule="auto"/>
        <w:jc w:val="both"/>
        <w:rPr>
          <w:rFonts w:ascii="Times New Roman" w:hAnsi="Times New Roman" w:cs="Times New Roman"/>
          <w:b/>
        </w:rPr>
      </w:pPr>
      <w:r w:rsidRPr="00120FE6">
        <w:rPr>
          <w:rFonts w:ascii="Times New Roman" w:hAnsi="Times New Roman" w:cs="Times New Roman"/>
          <w:b/>
          <w:u w:val="single"/>
        </w:rPr>
        <w:t xml:space="preserve">Cigna ordered to Pay </w:t>
      </w:r>
      <w:r w:rsidR="00DC354F" w:rsidRPr="00120FE6">
        <w:rPr>
          <w:rFonts w:ascii="Times New Roman" w:hAnsi="Times New Roman" w:cs="Times New Roman"/>
          <w:b/>
          <w:u w:val="single"/>
        </w:rPr>
        <w:t>$</w:t>
      </w:r>
      <w:r w:rsidRPr="00120FE6">
        <w:rPr>
          <w:rFonts w:ascii="Times New Roman" w:hAnsi="Times New Roman" w:cs="Times New Roman"/>
          <w:b/>
          <w:u w:val="single"/>
        </w:rPr>
        <w:t>13</w:t>
      </w:r>
      <w:r w:rsidR="00DC354F" w:rsidRPr="00120FE6">
        <w:rPr>
          <w:rFonts w:ascii="Times New Roman" w:hAnsi="Times New Roman" w:cs="Times New Roman"/>
          <w:b/>
          <w:u w:val="single"/>
        </w:rPr>
        <w:t xml:space="preserve">M </w:t>
      </w:r>
      <w:r w:rsidR="00D90385">
        <w:rPr>
          <w:rFonts w:ascii="Times New Roman" w:hAnsi="Times New Roman" w:cs="Times New Roman"/>
          <w:b/>
          <w:u w:val="single"/>
        </w:rPr>
        <w:t>in decision</w:t>
      </w:r>
      <w:r w:rsidR="00DC354F" w:rsidRPr="00120FE6">
        <w:rPr>
          <w:rFonts w:ascii="Times New Roman" w:hAnsi="Times New Roman" w:cs="Times New Roman"/>
          <w:b/>
          <w:u w:val="single"/>
        </w:rPr>
        <w:t xml:space="preserve"> </w:t>
      </w:r>
      <w:r w:rsidRPr="00120FE6">
        <w:rPr>
          <w:rFonts w:ascii="Times New Roman" w:hAnsi="Times New Roman" w:cs="Times New Roman"/>
          <w:b/>
          <w:u w:val="single"/>
        </w:rPr>
        <w:t>regarding overpayment requests and denied claims</w:t>
      </w:r>
      <w:r w:rsidRPr="00120FE6">
        <w:rPr>
          <w:rFonts w:ascii="Times New Roman" w:hAnsi="Times New Roman" w:cs="Times New Roman"/>
          <w:b/>
        </w:rPr>
        <w:t xml:space="preserve">. </w:t>
      </w:r>
    </w:p>
    <w:p w:rsidR="00C64F37" w:rsidRDefault="00C64F37" w:rsidP="00DC354F">
      <w:pPr>
        <w:spacing w:after="0" w:line="240" w:lineRule="auto"/>
        <w:jc w:val="both"/>
        <w:rPr>
          <w:rFonts w:ascii="Times New Roman" w:hAnsi="Times New Roman" w:cs="Times New Roman"/>
          <w:sz w:val="24"/>
          <w:szCs w:val="24"/>
        </w:rPr>
      </w:pPr>
    </w:p>
    <w:p w:rsidR="009D1751" w:rsidRDefault="009D1751" w:rsidP="00DC354F">
      <w:pPr>
        <w:spacing w:after="0" w:line="240" w:lineRule="auto"/>
        <w:jc w:val="both"/>
        <w:rPr>
          <w:rFonts w:ascii="Times New Roman" w:hAnsi="Times New Roman" w:cs="Times New Roman"/>
          <w:sz w:val="24"/>
          <w:szCs w:val="24"/>
        </w:rPr>
      </w:pPr>
      <w:r w:rsidRPr="002A6A08">
        <w:rPr>
          <w:rFonts w:ascii="Times New Roman" w:hAnsi="Times New Roman" w:cs="Times New Roman"/>
          <w:sz w:val="24"/>
          <w:szCs w:val="24"/>
        </w:rPr>
        <w:t xml:space="preserve">In early June 2016, A Texas Federal judge issued a landmark decision in favor of a physician-owned hospital and ordered that more than 13 million in unpaid and/or denied claims by Cigna be paid by the insurer. This case, an initial ERISA matter which related to Cigna pursuing an overpayment demand based on alleged fraud in discounted charges and/or failure to collect patient responsibility ultimately led to Cigna bearing the burden of paying claims it failed to properly adjudicate pursuant to ERISA and state law. </w:t>
      </w:r>
    </w:p>
    <w:p w:rsidR="00DC354F" w:rsidRPr="002A6A08" w:rsidRDefault="00DC354F" w:rsidP="00DC354F">
      <w:pPr>
        <w:spacing w:after="0" w:line="240" w:lineRule="auto"/>
        <w:jc w:val="both"/>
        <w:rPr>
          <w:rFonts w:ascii="Times New Roman" w:hAnsi="Times New Roman" w:cs="Times New Roman"/>
          <w:sz w:val="24"/>
          <w:szCs w:val="24"/>
        </w:rPr>
      </w:pPr>
    </w:p>
    <w:p w:rsidR="009D1751" w:rsidRDefault="009D1751" w:rsidP="00DC354F">
      <w:pPr>
        <w:spacing w:after="0" w:line="240" w:lineRule="auto"/>
        <w:jc w:val="both"/>
        <w:rPr>
          <w:rFonts w:ascii="Times New Roman" w:hAnsi="Times New Roman" w:cs="Times New Roman"/>
          <w:sz w:val="24"/>
          <w:szCs w:val="24"/>
          <w:shd w:val="clear" w:color="auto" w:fill="FFFFFF"/>
        </w:rPr>
      </w:pPr>
      <w:r w:rsidRPr="002A6A08">
        <w:rPr>
          <w:rFonts w:ascii="Times New Roman" w:hAnsi="Times New Roman" w:cs="Times New Roman"/>
          <w:sz w:val="24"/>
          <w:szCs w:val="24"/>
        </w:rPr>
        <w:t>This case marks one of the first decisions in which Cigna’s practice of ceasing to process any type of claim</w:t>
      </w:r>
      <w:r w:rsidR="00B263FA">
        <w:rPr>
          <w:rFonts w:ascii="Times New Roman" w:hAnsi="Times New Roman" w:cs="Times New Roman"/>
          <w:sz w:val="24"/>
          <w:szCs w:val="24"/>
        </w:rPr>
        <w:t>,</w:t>
      </w:r>
      <w:r w:rsidRPr="002A6A08">
        <w:rPr>
          <w:rFonts w:ascii="Times New Roman" w:hAnsi="Times New Roman" w:cs="Times New Roman"/>
          <w:sz w:val="24"/>
          <w:szCs w:val="24"/>
        </w:rPr>
        <w:t xml:space="preserve"> from the date </w:t>
      </w:r>
      <w:r w:rsidR="00F86A4D">
        <w:rPr>
          <w:rFonts w:ascii="Times New Roman" w:hAnsi="Times New Roman" w:cs="Times New Roman"/>
          <w:sz w:val="24"/>
          <w:szCs w:val="24"/>
        </w:rPr>
        <w:t xml:space="preserve">of the issuance of notice of a </w:t>
      </w:r>
      <w:r w:rsidRPr="002A6A08">
        <w:rPr>
          <w:rFonts w:ascii="Times New Roman" w:hAnsi="Times New Roman" w:cs="Times New Roman"/>
          <w:sz w:val="24"/>
          <w:szCs w:val="24"/>
        </w:rPr>
        <w:t xml:space="preserve">Special Investigations Unit audit to a provider, has been challenged and successfully litigated against with the court giving no credence to Cigna’s refusal to process claims when argued that evidence of fraud existed. </w:t>
      </w:r>
      <w:r w:rsidRPr="00DC354F">
        <w:rPr>
          <w:rFonts w:ascii="Times New Roman" w:hAnsi="Times New Roman" w:cs="Times New Roman"/>
          <w:i/>
          <w:sz w:val="24"/>
          <w:szCs w:val="24"/>
          <w:shd w:val="clear" w:color="auto" w:fill="FFFFFF"/>
        </w:rPr>
        <w:t xml:space="preserve">Connecticut General Life Insurance Co. et al. v. Humble Surgical Hospital LLC, </w:t>
      </w:r>
      <w:r w:rsidR="007168F9">
        <w:rPr>
          <w:rFonts w:ascii="Times New Roman" w:hAnsi="Times New Roman" w:cs="Times New Roman"/>
          <w:sz w:val="24"/>
          <w:szCs w:val="24"/>
          <w:shd w:val="clear" w:color="auto" w:fill="FFFFFF"/>
        </w:rPr>
        <w:t>No.</w:t>
      </w:r>
      <w:r w:rsidR="00F86A4D">
        <w:rPr>
          <w:rStyle w:val="apple-converted-space"/>
          <w:rFonts w:ascii="Times New Roman" w:hAnsi="Times New Roman" w:cs="Times New Roman"/>
          <w:sz w:val="24"/>
          <w:szCs w:val="24"/>
          <w:shd w:val="clear" w:color="auto" w:fill="FFFFFF"/>
        </w:rPr>
        <w:t xml:space="preserve"> </w:t>
      </w:r>
      <w:hyperlink r:id="rId15" w:history="1">
        <w:r w:rsidRPr="002A6A08">
          <w:rPr>
            <w:rStyle w:val="Hyperlink"/>
            <w:rFonts w:ascii="Times New Roman" w:hAnsi="Times New Roman" w:cs="Times New Roman"/>
            <w:sz w:val="24"/>
            <w:szCs w:val="24"/>
            <w:shd w:val="clear" w:color="auto" w:fill="FFFFFF"/>
          </w:rPr>
          <w:t>4:13-cv-03291</w:t>
        </w:r>
      </w:hyperlink>
      <w:r w:rsidRPr="002A6A08">
        <w:rPr>
          <w:rFonts w:ascii="Times New Roman" w:hAnsi="Times New Roman" w:cs="Times New Roman"/>
          <w:sz w:val="24"/>
          <w:szCs w:val="24"/>
          <w:shd w:val="clear" w:color="auto" w:fill="FFFFFF"/>
        </w:rPr>
        <w:t>, in the U.S. District Court for the Southern District of Texas.</w:t>
      </w:r>
    </w:p>
    <w:p w:rsidR="00DC354F" w:rsidRPr="00DC354F" w:rsidRDefault="00DC354F" w:rsidP="00DC354F">
      <w:pPr>
        <w:spacing w:after="0" w:line="240" w:lineRule="auto"/>
        <w:jc w:val="both"/>
        <w:rPr>
          <w:rFonts w:ascii="Times New Roman" w:hAnsi="Times New Roman" w:cs="Times New Roman"/>
          <w:sz w:val="24"/>
          <w:szCs w:val="24"/>
        </w:rPr>
      </w:pPr>
    </w:p>
    <w:p w:rsidR="009D1751" w:rsidRPr="002A6A08" w:rsidRDefault="009D1751" w:rsidP="00DC354F">
      <w:pPr>
        <w:pStyle w:val="Heading3"/>
        <w:spacing w:before="0" w:beforeAutospacing="0" w:after="0" w:afterAutospacing="0"/>
        <w:jc w:val="both"/>
        <w:textAlignment w:val="center"/>
        <w:rPr>
          <w:b w:val="0"/>
          <w:bCs w:val="0"/>
          <w:color w:val="222222"/>
          <w:sz w:val="24"/>
          <w:szCs w:val="24"/>
        </w:rPr>
      </w:pPr>
      <w:r w:rsidRPr="002A6A08">
        <w:rPr>
          <w:b w:val="0"/>
          <w:sz w:val="24"/>
          <w:szCs w:val="24"/>
        </w:rPr>
        <w:t xml:space="preserve">A similar case, based on the same sets of facts and circumstances has recently settled in the U.S. District Court for the Southern District of Florida, </w:t>
      </w:r>
      <w:r w:rsidRPr="00DC354F">
        <w:rPr>
          <w:b w:val="0"/>
          <w:bCs w:val="0"/>
          <w:i/>
          <w:color w:val="222222"/>
          <w:sz w:val="24"/>
          <w:szCs w:val="24"/>
        </w:rPr>
        <w:t xml:space="preserve">TGWC Associates LLC v. CIGNA Health and Life Insurance Company et al, </w:t>
      </w:r>
      <w:r w:rsidR="007168F9">
        <w:rPr>
          <w:b w:val="0"/>
          <w:bCs w:val="0"/>
          <w:color w:val="222222"/>
          <w:sz w:val="24"/>
          <w:szCs w:val="24"/>
        </w:rPr>
        <w:t>No.</w:t>
      </w:r>
      <w:r w:rsidRPr="002A6A08">
        <w:rPr>
          <w:b w:val="0"/>
          <w:bCs w:val="0"/>
          <w:color w:val="222222"/>
          <w:sz w:val="24"/>
          <w:szCs w:val="24"/>
          <w:u w:val="single"/>
        </w:rPr>
        <w:t xml:space="preserve"> </w:t>
      </w:r>
      <w:r w:rsidRPr="002A6A08">
        <w:rPr>
          <w:b w:val="0"/>
          <w:color w:val="333333"/>
          <w:sz w:val="24"/>
          <w:szCs w:val="24"/>
          <w:u w:val="single"/>
          <w:shd w:val="clear" w:color="auto" w:fill="FBFBFB"/>
        </w:rPr>
        <w:t>1:15-cv-2479.</w:t>
      </w:r>
      <w:r w:rsidRPr="002A6A08">
        <w:rPr>
          <w:b w:val="0"/>
          <w:color w:val="333333"/>
          <w:sz w:val="24"/>
          <w:szCs w:val="24"/>
          <w:shd w:val="clear" w:color="auto" w:fill="FBFBFB"/>
        </w:rPr>
        <w:t xml:space="preserve"> </w:t>
      </w:r>
    </w:p>
    <w:p w:rsidR="009D1751" w:rsidRPr="002A6A08" w:rsidRDefault="009D1751" w:rsidP="00DC354F">
      <w:pPr>
        <w:spacing w:after="0" w:line="240" w:lineRule="auto"/>
        <w:jc w:val="both"/>
        <w:rPr>
          <w:rFonts w:ascii="Times New Roman" w:hAnsi="Times New Roman" w:cs="Times New Roman"/>
          <w:sz w:val="24"/>
          <w:szCs w:val="24"/>
        </w:rPr>
      </w:pPr>
    </w:p>
    <w:p w:rsidR="00F86A4D" w:rsidRPr="006A7D4E" w:rsidRDefault="009D1751" w:rsidP="006A7D4E">
      <w:pPr>
        <w:ind w:firstLine="720"/>
        <w:jc w:val="both"/>
        <w:rPr>
          <w:rFonts w:ascii="Times New Roman" w:hAnsi="Times New Roman" w:cs="Times New Roman"/>
          <w:b/>
          <w:sz w:val="24"/>
          <w:szCs w:val="24"/>
        </w:rPr>
      </w:pPr>
      <w:r w:rsidRPr="006A7D4E">
        <w:rPr>
          <w:rFonts w:ascii="Times New Roman" w:hAnsi="Times New Roman" w:cs="Times New Roman"/>
          <w:b/>
          <w:sz w:val="24"/>
          <w:szCs w:val="24"/>
        </w:rPr>
        <w:t xml:space="preserve">Submitted by Anelia Shaheed, Esq. </w:t>
      </w:r>
    </w:p>
    <w:p w:rsidR="00EF7BF2" w:rsidRDefault="00EF7BF2" w:rsidP="00EF7BF2">
      <w:pPr>
        <w:jc w:val="both"/>
        <w:rPr>
          <w:rFonts w:ascii="Times New Roman" w:hAnsi="Times New Roman" w:cs="Times New Roman"/>
          <w:b/>
          <w:sz w:val="24"/>
          <w:szCs w:val="24"/>
          <w:lang w:val="en-CA"/>
        </w:rPr>
      </w:pPr>
    </w:p>
    <w:sectPr w:rsidR="00EF7BF2" w:rsidSect="00887E0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82" w:rsidRDefault="00164282" w:rsidP="00CA36CD">
      <w:pPr>
        <w:spacing w:after="0" w:line="240" w:lineRule="auto"/>
      </w:pPr>
      <w:r>
        <w:separator/>
      </w:r>
    </w:p>
  </w:endnote>
  <w:endnote w:type="continuationSeparator" w:id="0">
    <w:p w:rsidR="00164282" w:rsidRDefault="00164282" w:rsidP="00CA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ct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82" w:rsidRDefault="00164282" w:rsidP="00CA36CD">
      <w:pPr>
        <w:spacing w:after="0" w:line="240" w:lineRule="auto"/>
        <w:rPr>
          <w:noProof/>
        </w:rPr>
      </w:pPr>
      <w:r>
        <w:rPr>
          <w:noProof/>
        </w:rPr>
        <w:separator/>
      </w:r>
    </w:p>
  </w:footnote>
  <w:footnote w:type="continuationSeparator" w:id="0">
    <w:p w:rsidR="00164282" w:rsidRDefault="00164282" w:rsidP="00CA3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45265"/>
    <w:multiLevelType w:val="hybridMultilevel"/>
    <w:tmpl w:val="55D2E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42"/>
    <w:rsid w:val="000015B2"/>
    <w:rsid w:val="00002FA9"/>
    <w:rsid w:val="00004B05"/>
    <w:rsid w:val="00013B29"/>
    <w:rsid w:val="00015005"/>
    <w:rsid w:val="00022EB8"/>
    <w:rsid w:val="0002433E"/>
    <w:rsid w:val="00025D15"/>
    <w:rsid w:val="00051447"/>
    <w:rsid w:val="000526F3"/>
    <w:rsid w:val="00057C2A"/>
    <w:rsid w:val="000714C6"/>
    <w:rsid w:val="00094742"/>
    <w:rsid w:val="000A7AA6"/>
    <w:rsid w:val="000C02DD"/>
    <w:rsid w:val="000C35EF"/>
    <w:rsid w:val="000D2694"/>
    <w:rsid w:val="000D4647"/>
    <w:rsid w:val="000F2182"/>
    <w:rsid w:val="0010215F"/>
    <w:rsid w:val="001021FE"/>
    <w:rsid w:val="00111906"/>
    <w:rsid w:val="00117B9C"/>
    <w:rsid w:val="00120FE6"/>
    <w:rsid w:val="001261BE"/>
    <w:rsid w:val="001322C6"/>
    <w:rsid w:val="00144451"/>
    <w:rsid w:val="0015050E"/>
    <w:rsid w:val="001613F1"/>
    <w:rsid w:val="00164282"/>
    <w:rsid w:val="00165918"/>
    <w:rsid w:val="001726E8"/>
    <w:rsid w:val="00175D7C"/>
    <w:rsid w:val="00180575"/>
    <w:rsid w:val="00183E0A"/>
    <w:rsid w:val="0019258D"/>
    <w:rsid w:val="00195BAC"/>
    <w:rsid w:val="001A0485"/>
    <w:rsid w:val="001B6D2C"/>
    <w:rsid w:val="001C47E8"/>
    <w:rsid w:val="001C6B62"/>
    <w:rsid w:val="001D2A59"/>
    <w:rsid w:val="001D65E8"/>
    <w:rsid w:val="001F5FB7"/>
    <w:rsid w:val="00203BF0"/>
    <w:rsid w:val="00204FAC"/>
    <w:rsid w:val="00215139"/>
    <w:rsid w:val="00230E2B"/>
    <w:rsid w:val="00231CA8"/>
    <w:rsid w:val="00240319"/>
    <w:rsid w:val="0024245F"/>
    <w:rsid w:val="0025228D"/>
    <w:rsid w:val="002560A0"/>
    <w:rsid w:val="00263092"/>
    <w:rsid w:val="002908D4"/>
    <w:rsid w:val="00294F1D"/>
    <w:rsid w:val="002A6A08"/>
    <w:rsid w:val="002B673F"/>
    <w:rsid w:val="002D4E54"/>
    <w:rsid w:val="002E0494"/>
    <w:rsid w:val="002E6E1E"/>
    <w:rsid w:val="002F6EE3"/>
    <w:rsid w:val="003109C5"/>
    <w:rsid w:val="00315122"/>
    <w:rsid w:val="0031546C"/>
    <w:rsid w:val="00343641"/>
    <w:rsid w:val="00360AEE"/>
    <w:rsid w:val="00364604"/>
    <w:rsid w:val="00371F46"/>
    <w:rsid w:val="003904C0"/>
    <w:rsid w:val="003A4491"/>
    <w:rsid w:val="003B5F9D"/>
    <w:rsid w:val="003C4254"/>
    <w:rsid w:val="003C5721"/>
    <w:rsid w:val="003E4EAB"/>
    <w:rsid w:val="003F679B"/>
    <w:rsid w:val="00403577"/>
    <w:rsid w:val="00420D25"/>
    <w:rsid w:val="004325D5"/>
    <w:rsid w:val="00433744"/>
    <w:rsid w:val="00435FBC"/>
    <w:rsid w:val="004372A0"/>
    <w:rsid w:val="00455611"/>
    <w:rsid w:val="00467FB0"/>
    <w:rsid w:val="00472FC7"/>
    <w:rsid w:val="00484347"/>
    <w:rsid w:val="00495C78"/>
    <w:rsid w:val="004B2577"/>
    <w:rsid w:val="004D3492"/>
    <w:rsid w:val="004D5178"/>
    <w:rsid w:val="004E61CF"/>
    <w:rsid w:val="004E64EB"/>
    <w:rsid w:val="004E6622"/>
    <w:rsid w:val="004F6B41"/>
    <w:rsid w:val="00517EAE"/>
    <w:rsid w:val="005215B6"/>
    <w:rsid w:val="00530780"/>
    <w:rsid w:val="00535649"/>
    <w:rsid w:val="00540477"/>
    <w:rsid w:val="00544258"/>
    <w:rsid w:val="005522BC"/>
    <w:rsid w:val="00565630"/>
    <w:rsid w:val="00583323"/>
    <w:rsid w:val="00593003"/>
    <w:rsid w:val="005A1DA7"/>
    <w:rsid w:val="005A520D"/>
    <w:rsid w:val="005A600D"/>
    <w:rsid w:val="005B306C"/>
    <w:rsid w:val="005C5AD9"/>
    <w:rsid w:val="005E057F"/>
    <w:rsid w:val="00600BF1"/>
    <w:rsid w:val="00610B60"/>
    <w:rsid w:val="006172B9"/>
    <w:rsid w:val="0064474D"/>
    <w:rsid w:val="00652BE7"/>
    <w:rsid w:val="00656E7C"/>
    <w:rsid w:val="00662E5C"/>
    <w:rsid w:val="00672E2C"/>
    <w:rsid w:val="00675F9B"/>
    <w:rsid w:val="00681508"/>
    <w:rsid w:val="0069151F"/>
    <w:rsid w:val="00693499"/>
    <w:rsid w:val="006954E3"/>
    <w:rsid w:val="00696A1B"/>
    <w:rsid w:val="00697AF6"/>
    <w:rsid w:val="006A4DE2"/>
    <w:rsid w:val="006A7D4E"/>
    <w:rsid w:val="006B5558"/>
    <w:rsid w:val="006B6871"/>
    <w:rsid w:val="006C5505"/>
    <w:rsid w:val="006E62DC"/>
    <w:rsid w:val="006F7F7D"/>
    <w:rsid w:val="00706772"/>
    <w:rsid w:val="007119E0"/>
    <w:rsid w:val="00712A0B"/>
    <w:rsid w:val="007168F9"/>
    <w:rsid w:val="00717C5B"/>
    <w:rsid w:val="00743653"/>
    <w:rsid w:val="00760DA5"/>
    <w:rsid w:val="00766F49"/>
    <w:rsid w:val="00774C80"/>
    <w:rsid w:val="007A25AC"/>
    <w:rsid w:val="007B6320"/>
    <w:rsid w:val="007C0656"/>
    <w:rsid w:val="007C6C0D"/>
    <w:rsid w:val="00804796"/>
    <w:rsid w:val="00804ECF"/>
    <w:rsid w:val="008100AD"/>
    <w:rsid w:val="00814569"/>
    <w:rsid w:val="0082735C"/>
    <w:rsid w:val="008330F0"/>
    <w:rsid w:val="00837586"/>
    <w:rsid w:val="00841C15"/>
    <w:rsid w:val="00864282"/>
    <w:rsid w:val="00885247"/>
    <w:rsid w:val="0088548D"/>
    <w:rsid w:val="00886FDA"/>
    <w:rsid w:val="00887E05"/>
    <w:rsid w:val="008A5B42"/>
    <w:rsid w:val="008A616F"/>
    <w:rsid w:val="008A6471"/>
    <w:rsid w:val="008B025E"/>
    <w:rsid w:val="008D4D7B"/>
    <w:rsid w:val="008F446C"/>
    <w:rsid w:val="0090052E"/>
    <w:rsid w:val="009034FB"/>
    <w:rsid w:val="00923805"/>
    <w:rsid w:val="0093506A"/>
    <w:rsid w:val="009444A6"/>
    <w:rsid w:val="00946091"/>
    <w:rsid w:val="009460EB"/>
    <w:rsid w:val="00967C70"/>
    <w:rsid w:val="0098749C"/>
    <w:rsid w:val="009925AD"/>
    <w:rsid w:val="009A2201"/>
    <w:rsid w:val="009B5AEE"/>
    <w:rsid w:val="009D1751"/>
    <w:rsid w:val="009E0464"/>
    <w:rsid w:val="009E5F59"/>
    <w:rsid w:val="009E7B07"/>
    <w:rsid w:val="009F11E2"/>
    <w:rsid w:val="009F4B18"/>
    <w:rsid w:val="00A20C10"/>
    <w:rsid w:val="00A30121"/>
    <w:rsid w:val="00A4510D"/>
    <w:rsid w:val="00A637E6"/>
    <w:rsid w:val="00A72E7C"/>
    <w:rsid w:val="00A94BBD"/>
    <w:rsid w:val="00AB2B67"/>
    <w:rsid w:val="00AC21DD"/>
    <w:rsid w:val="00AC2D2E"/>
    <w:rsid w:val="00AC4E12"/>
    <w:rsid w:val="00AC79FA"/>
    <w:rsid w:val="00AD4C61"/>
    <w:rsid w:val="00AD631C"/>
    <w:rsid w:val="00AE2327"/>
    <w:rsid w:val="00AE5247"/>
    <w:rsid w:val="00B00166"/>
    <w:rsid w:val="00B12951"/>
    <w:rsid w:val="00B13614"/>
    <w:rsid w:val="00B1671D"/>
    <w:rsid w:val="00B222F8"/>
    <w:rsid w:val="00B263FA"/>
    <w:rsid w:val="00B27A7F"/>
    <w:rsid w:val="00B4410C"/>
    <w:rsid w:val="00B47C9C"/>
    <w:rsid w:val="00B51687"/>
    <w:rsid w:val="00B53696"/>
    <w:rsid w:val="00B55CCC"/>
    <w:rsid w:val="00B5698D"/>
    <w:rsid w:val="00B5737A"/>
    <w:rsid w:val="00B628CA"/>
    <w:rsid w:val="00B67D30"/>
    <w:rsid w:val="00B82675"/>
    <w:rsid w:val="00B82CFD"/>
    <w:rsid w:val="00B900EF"/>
    <w:rsid w:val="00B90CF9"/>
    <w:rsid w:val="00B92924"/>
    <w:rsid w:val="00BA715A"/>
    <w:rsid w:val="00BB53A2"/>
    <w:rsid w:val="00BB7B33"/>
    <w:rsid w:val="00BC7842"/>
    <w:rsid w:val="00BD20B3"/>
    <w:rsid w:val="00BE25AF"/>
    <w:rsid w:val="00BE4EC9"/>
    <w:rsid w:val="00BF2C34"/>
    <w:rsid w:val="00BF7BEF"/>
    <w:rsid w:val="00C167C2"/>
    <w:rsid w:val="00C27390"/>
    <w:rsid w:val="00C46EA9"/>
    <w:rsid w:val="00C64F37"/>
    <w:rsid w:val="00C9136B"/>
    <w:rsid w:val="00C934DF"/>
    <w:rsid w:val="00C95054"/>
    <w:rsid w:val="00C95919"/>
    <w:rsid w:val="00CA36CD"/>
    <w:rsid w:val="00CA5839"/>
    <w:rsid w:val="00CA677A"/>
    <w:rsid w:val="00CB122F"/>
    <w:rsid w:val="00CB433C"/>
    <w:rsid w:val="00CB4AFC"/>
    <w:rsid w:val="00CC406E"/>
    <w:rsid w:val="00CD65BF"/>
    <w:rsid w:val="00CF06B8"/>
    <w:rsid w:val="00D007FB"/>
    <w:rsid w:val="00D04CC2"/>
    <w:rsid w:val="00D133A8"/>
    <w:rsid w:val="00D1593F"/>
    <w:rsid w:val="00D165F8"/>
    <w:rsid w:val="00D1775B"/>
    <w:rsid w:val="00D242F6"/>
    <w:rsid w:val="00D31E7B"/>
    <w:rsid w:val="00D31F50"/>
    <w:rsid w:val="00D33EAC"/>
    <w:rsid w:val="00D45004"/>
    <w:rsid w:val="00D47BCD"/>
    <w:rsid w:val="00D561CE"/>
    <w:rsid w:val="00D57AD5"/>
    <w:rsid w:val="00D87FB9"/>
    <w:rsid w:val="00D90385"/>
    <w:rsid w:val="00D97D55"/>
    <w:rsid w:val="00DB0DB4"/>
    <w:rsid w:val="00DB3BF1"/>
    <w:rsid w:val="00DB4A89"/>
    <w:rsid w:val="00DC0384"/>
    <w:rsid w:val="00DC354F"/>
    <w:rsid w:val="00DC5A38"/>
    <w:rsid w:val="00DC7109"/>
    <w:rsid w:val="00DC7659"/>
    <w:rsid w:val="00DD7252"/>
    <w:rsid w:val="00DE2D04"/>
    <w:rsid w:val="00DE698A"/>
    <w:rsid w:val="00E032FE"/>
    <w:rsid w:val="00E04CA2"/>
    <w:rsid w:val="00E139B8"/>
    <w:rsid w:val="00E14C8E"/>
    <w:rsid w:val="00E35F18"/>
    <w:rsid w:val="00E37B03"/>
    <w:rsid w:val="00E45FAC"/>
    <w:rsid w:val="00E460D4"/>
    <w:rsid w:val="00E61AF1"/>
    <w:rsid w:val="00E6661C"/>
    <w:rsid w:val="00E72099"/>
    <w:rsid w:val="00E740A9"/>
    <w:rsid w:val="00E804CC"/>
    <w:rsid w:val="00E82033"/>
    <w:rsid w:val="00E82F53"/>
    <w:rsid w:val="00EA0904"/>
    <w:rsid w:val="00EA6898"/>
    <w:rsid w:val="00EC4A9B"/>
    <w:rsid w:val="00EC6871"/>
    <w:rsid w:val="00ED6386"/>
    <w:rsid w:val="00EE5B1B"/>
    <w:rsid w:val="00EF14D4"/>
    <w:rsid w:val="00EF2362"/>
    <w:rsid w:val="00EF7BF2"/>
    <w:rsid w:val="00F109EA"/>
    <w:rsid w:val="00F15492"/>
    <w:rsid w:val="00F160E1"/>
    <w:rsid w:val="00F17B6F"/>
    <w:rsid w:val="00F20617"/>
    <w:rsid w:val="00F251A3"/>
    <w:rsid w:val="00F35DA1"/>
    <w:rsid w:val="00F4174E"/>
    <w:rsid w:val="00F42C6C"/>
    <w:rsid w:val="00F52B7E"/>
    <w:rsid w:val="00F8221A"/>
    <w:rsid w:val="00F86A4D"/>
    <w:rsid w:val="00F93DCC"/>
    <w:rsid w:val="00FA210D"/>
    <w:rsid w:val="00FC2C05"/>
    <w:rsid w:val="00FC5BD0"/>
    <w:rsid w:val="00FD3799"/>
    <w:rsid w:val="00FE556E"/>
    <w:rsid w:val="00FF21DE"/>
    <w:rsid w:val="00FF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F9F0"/>
  <w15:docId w15:val="{2BAD7375-9692-473F-9756-56642539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6CD"/>
  </w:style>
  <w:style w:type="paragraph" w:styleId="Heading2">
    <w:name w:val="heading 2"/>
    <w:basedOn w:val="Normal"/>
    <w:next w:val="Normal"/>
    <w:link w:val="Heading2Char"/>
    <w:uiPriority w:val="9"/>
    <w:semiHidden/>
    <w:unhideWhenUsed/>
    <w:qFormat/>
    <w:rsid w:val="00E820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12A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6CD"/>
    <w:pPr>
      <w:spacing w:after="0" w:line="240" w:lineRule="auto"/>
    </w:pPr>
  </w:style>
  <w:style w:type="paragraph" w:styleId="Header">
    <w:name w:val="header"/>
    <w:basedOn w:val="Normal"/>
    <w:link w:val="HeaderChar"/>
    <w:uiPriority w:val="99"/>
    <w:unhideWhenUsed/>
    <w:rsid w:val="00CA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6CD"/>
  </w:style>
  <w:style w:type="paragraph" w:styleId="Footer">
    <w:name w:val="footer"/>
    <w:basedOn w:val="Normal"/>
    <w:link w:val="FooterChar"/>
    <w:uiPriority w:val="99"/>
    <w:unhideWhenUsed/>
    <w:rsid w:val="00CA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6CD"/>
  </w:style>
  <w:style w:type="character" w:styleId="Hyperlink">
    <w:name w:val="Hyperlink"/>
    <w:basedOn w:val="DefaultParagraphFont"/>
    <w:uiPriority w:val="99"/>
    <w:unhideWhenUsed/>
    <w:rsid w:val="00D47BCD"/>
    <w:rPr>
      <w:color w:val="0563C1" w:themeColor="hyperlink"/>
      <w:u w:val="single"/>
    </w:rPr>
  </w:style>
  <w:style w:type="character" w:customStyle="1" w:styleId="Heading3Char">
    <w:name w:val="Heading 3 Char"/>
    <w:basedOn w:val="DefaultParagraphFont"/>
    <w:link w:val="Heading3"/>
    <w:uiPriority w:val="9"/>
    <w:rsid w:val="00712A0B"/>
    <w:rPr>
      <w:rFonts w:ascii="Times New Roman" w:eastAsia="Times New Roman" w:hAnsi="Times New Roman" w:cs="Times New Roman"/>
      <w:b/>
      <w:bCs/>
      <w:sz w:val="27"/>
      <w:szCs w:val="27"/>
    </w:rPr>
  </w:style>
  <w:style w:type="character" w:customStyle="1" w:styleId="apple-converted-space">
    <w:name w:val="apple-converted-space"/>
    <w:rsid w:val="00712A0B"/>
  </w:style>
  <w:style w:type="paragraph" w:styleId="ListParagraph">
    <w:name w:val="List Paragraph"/>
    <w:basedOn w:val="Normal"/>
    <w:uiPriority w:val="34"/>
    <w:qFormat/>
    <w:rsid w:val="00712A0B"/>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1F5FB7"/>
    <w:rPr>
      <w:color w:val="954F72" w:themeColor="followedHyperlink"/>
      <w:u w:val="single"/>
    </w:rPr>
  </w:style>
  <w:style w:type="character" w:customStyle="1" w:styleId="Heading2Char">
    <w:name w:val="Heading 2 Char"/>
    <w:basedOn w:val="DefaultParagraphFont"/>
    <w:link w:val="Heading2"/>
    <w:uiPriority w:val="9"/>
    <w:semiHidden/>
    <w:rsid w:val="00E8203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8203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2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FA"/>
    <w:rPr>
      <w:rFonts w:ascii="Tahoma" w:hAnsi="Tahoma" w:cs="Tahoma"/>
      <w:sz w:val="16"/>
      <w:szCs w:val="16"/>
    </w:rPr>
  </w:style>
  <w:style w:type="character" w:styleId="CommentReference">
    <w:name w:val="annotation reference"/>
    <w:basedOn w:val="DefaultParagraphFont"/>
    <w:uiPriority w:val="99"/>
    <w:semiHidden/>
    <w:unhideWhenUsed/>
    <w:rsid w:val="00B263FA"/>
    <w:rPr>
      <w:sz w:val="16"/>
      <w:szCs w:val="16"/>
    </w:rPr>
  </w:style>
  <w:style w:type="paragraph" w:styleId="CommentText">
    <w:name w:val="annotation text"/>
    <w:basedOn w:val="Normal"/>
    <w:link w:val="CommentTextChar"/>
    <w:uiPriority w:val="99"/>
    <w:semiHidden/>
    <w:unhideWhenUsed/>
    <w:rsid w:val="00B263FA"/>
    <w:pPr>
      <w:spacing w:line="240" w:lineRule="auto"/>
    </w:pPr>
    <w:rPr>
      <w:sz w:val="20"/>
      <w:szCs w:val="20"/>
    </w:rPr>
  </w:style>
  <w:style w:type="character" w:customStyle="1" w:styleId="CommentTextChar">
    <w:name w:val="Comment Text Char"/>
    <w:basedOn w:val="DefaultParagraphFont"/>
    <w:link w:val="CommentText"/>
    <w:uiPriority w:val="99"/>
    <w:semiHidden/>
    <w:rsid w:val="00B263FA"/>
    <w:rPr>
      <w:sz w:val="20"/>
      <w:szCs w:val="20"/>
    </w:rPr>
  </w:style>
  <w:style w:type="paragraph" w:styleId="CommentSubject">
    <w:name w:val="annotation subject"/>
    <w:basedOn w:val="CommentText"/>
    <w:next w:val="CommentText"/>
    <w:link w:val="CommentSubjectChar"/>
    <w:uiPriority w:val="99"/>
    <w:semiHidden/>
    <w:unhideWhenUsed/>
    <w:rsid w:val="00B263FA"/>
    <w:rPr>
      <w:b/>
      <w:bCs/>
    </w:rPr>
  </w:style>
  <w:style w:type="character" w:customStyle="1" w:styleId="CommentSubjectChar">
    <w:name w:val="Comment Subject Char"/>
    <w:basedOn w:val="CommentTextChar"/>
    <w:link w:val="CommentSubject"/>
    <w:uiPriority w:val="99"/>
    <w:semiHidden/>
    <w:rsid w:val="00B263FA"/>
    <w:rPr>
      <w:b/>
      <w:bCs/>
      <w:sz w:val="20"/>
      <w:szCs w:val="20"/>
    </w:rPr>
  </w:style>
  <w:style w:type="character" w:styleId="Emphasis">
    <w:name w:val="Emphasis"/>
    <w:basedOn w:val="DefaultParagraphFont"/>
    <w:uiPriority w:val="20"/>
    <w:qFormat/>
    <w:rsid w:val="00D56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75480">
      <w:bodyDiv w:val="1"/>
      <w:marLeft w:val="0"/>
      <w:marRight w:val="0"/>
      <w:marTop w:val="0"/>
      <w:marBottom w:val="0"/>
      <w:divBdr>
        <w:top w:val="none" w:sz="0" w:space="0" w:color="auto"/>
        <w:left w:val="none" w:sz="0" w:space="0" w:color="auto"/>
        <w:bottom w:val="none" w:sz="0" w:space="0" w:color="auto"/>
        <w:right w:val="none" w:sz="0" w:space="0" w:color="auto"/>
      </w:divBdr>
    </w:div>
    <w:div w:id="1721322038">
      <w:bodyDiv w:val="1"/>
      <w:marLeft w:val="0"/>
      <w:marRight w:val="0"/>
      <w:marTop w:val="0"/>
      <w:marBottom w:val="0"/>
      <w:divBdr>
        <w:top w:val="none" w:sz="0" w:space="0" w:color="auto"/>
        <w:left w:val="none" w:sz="0" w:space="0" w:color="auto"/>
        <w:bottom w:val="none" w:sz="0" w:space="0" w:color="auto"/>
        <w:right w:val="none" w:sz="0" w:space="0" w:color="auto"/>
      </w:divBdr>
    </w:div>
    <w:div w:id="17317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gov/opinions/15pdf/15-7_a074.pdf" TargetMode="External"/><Relationship Id="rId13" Type="http://schemas.openxmlformats.org/officeDocument/2006/relationships/hyperlink" Target="http://www.astho.org/Toolkit/Improving-Access-to-EHRs-During-Outbrea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tworkforphl.org/events__webinars/conferences/2016_public_health_law_conference/?utm_source=Network+Report+9-17-15&amp;utm_campaign=Network+Report+9-17-15&amp;utm_medium=email&amp;utm_content=1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phlp/docs/phlcm-v1.pdf" TargetMode="External"/><Relationship Id="rId5" Type="http://schemas.openxmlformats.org/officeDocument/2006/relationships/webSettings" Target="webSettings.xml"/><Relationship Id="rId15" Type="http://schemas.openxmlformats.org/officeDocument/2006/relationships/hyperlink" Target="http://www.law360.com/cases/527c22ff5502ac1a0900a48d" TargetMode="External"/><Relationship Id="rId10" Type="http://schemas.openxmlformats.org/officeDocument/2006/relationships/hyperlink" Target="http://www.cdc.gov/phlp/docs/phlcm-v1.pdf" TargetMode="External"/><Relationship Id="rId4" Type="http://schemas.openxmlformats.org/officeDocument/2006/relationships/settings" Target="settings.xml"/><Relationship Id="rId9" Type="http://schemas.openxmlformats.org/officeDocument/2006/relationships/hyperlink" Target="http://media.ca11.uscourts.gov/opinions/pub/files/201513731.pdf" TargetMode="External"/><Relationship Id="rId14" Type="http://schemas.openxmlformats.org/officeDocument/2006/relationships/hyperlink" Target="http://www.vermontbiz.com/news/june/governor-shumlin-makes-vermont-first-state-require-rx-drug-price-transpa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1606-6D67-42EC-BB04-42738C38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3129</Words>
  <Characters>17841</Characters>
  <Application>Microsoft Office Word</Application>
  <DocSecurity>0</DocSecurity>
  <PresentationFormat/>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00420919.PDF.docx. 1 /Font=9</dc:subject>
  <dc:creator>Jamie Gelfman</dc:creator>
  <cp:lastModifiedBy>Malinda</cp:lastModifiedBy>
  <cp:revision>4</cp:revision>
  <cp:lastPrinted>2016-08-18T18:40:00Z</cp:lastPrinted>
  <dcterms:created xsi:type="dcterms:W3CDTF">2016-08-18T18:40:00Z</dcterms:created>
  <dcterms:modified xsi:type="dcterms:W3CDTF">2016-08-18T18:54:00Z</dcterms:modified>
</cp:coreProperties>
</file>