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E8" w:rsidRDefault="006E339C">
      <w:pPr>
        <w:jc w:val="both"/>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December 2018</w:t>
      </w:r>
    </w:p>
    <w:p w:rsidR="00297AE8" w:rsidRDefault="006E339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Dear Health Law Section Members: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297AE8" w:rsidRDefault="006E33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Health Law Section (“HLS”) website has been updated with October through November 2018 articles on significant developments in the health law arena that may be of interest to you in your </w:t>
      </w:r>
      <w:r>
        <w:rPr>
          <w:rFonts w:ascii="Times New Roman" w:eastAsia="Calibri" w:hAnsi="Times New Roman" w:cs="Times New Roman"/>
          <w:sz w:val="24"/>
          <w:szCs w:val="24"/>
        </w:rPr>
        <w:t>practice.  These summaries are presented to HLS members for general information only and do not constitute legal advice from The Florida Bar or its Health Law Section.  HLS thanks the following volunteers who have generously donated their time to prepare t</w:t>
      </w:r>
      <w:r>
        <w:rPr>
          <w:rFonts w:ascii="Times New Roman" w:eastAsia="Calibri" w:hAnsi="Times New Roman" w:cs="Times New Roman"/>
          <w:sz w:val="24"/>
          <w:szCs w:val="24"/>
        </w:rPr>
        <w:t>hese summaries for our members:</w:t>
      </w:r>
    </w:p>
    <w:p w:rsidR="00297AE8" w:rsidRDefault="00297AE8">
      <w:pPr>
        <w:jc w:val="both"/>
        <w:rPr>
          <w:rFonts w:ascii="Times New Roman" w:eastAsia="Calibri" w:hAnsi="Times New Roman" w:cs="Times New Roman"/>
          <w:sz w:val="24"/>
          <w:szCs w:val="24"/>
        </w:rPr>
      </w:pPr>
    </w:p>
    <w:p w:rsidR="00297AE8" w:rsidRDefault="006E339C">
      <w:pPr>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Jocelyn E. </w:t>
      </w:r>
      <w:proofErr w:type="spellStart"/>
      <w:r>
        <w:rPr>
          <w:rFonts w:ascii="Times New Roman" w:eastAsia="Times New Roman" w:hAnsi="Times New Roman" w:cs="Times New Roman"/>
          <w:b/>
          <w:color w:val="000000"/>
          <w:sz w:val="24"/>
          <w:szCs w:val="24"/>
        </w:rPr>
        <w:t>Ezratty</w:t>
      </w:r>
      <w:proofErr w:type="spellEnd"/>
      <w:r>
        <w:rPr>
          <w:rFonts w:ascii="Times New Roman" w:eastAsia="Times New Roman" w:hAnsi="Times New Roman" w:cs="Times New Roman"/>
          <w:b/>
          <w:color w:val="000000"/>
          <w:sz w:val="24"/>
          <w:szCs w:val="24"/>
        </w:rPr>
        <w:t xml:space="preserve">, Esq., </w:t>
      </w:r>
      <w:r>
        <w:rPr>
          <w:rFonts w:ascii="Times New Roman" w:hAnsi="Times New Roman" w:cs="Times New Roman"/>
          <w:b/>
          <w:sz w:val="24"/>
          <w:szCs w:val="24"/>
        </w:rPr>
        <w:t>Brach Eichler, LLC</w:t>
      </w:r>
    </w:p>
    <w:p w:rsidR="00297AE8" w:rsidRDefault="006E339C">
      <w:pPr>
        <w:ind w:firstLine="720"/>
        <w:jc w:val="both"/>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 xml:space="preserve">Angelina Gonzalez, Esq., </w:t>
      </w:r>
      <w:proofErr w:type="spellStart"/>
      <w:r>
        <w:rPr>
          <w:rFonts w:ascii="Times New Roman" w:eastAsia="Calibri" w:hAnsi="Times New Roman" w:cs="Times New Roman"/>
          <w:b/>
          <w:bCs/>
          <w:iCs/>
          <w:color w:val="000000"/>
          <w:sz w:val="24"/>
          <w:szCs w:val="24"/>
        </w:rPr>
        <w:t>Panza</w:t>
      </w:r>
      <w:proofErr w:type="spellEnd"/>
      <w:r>
        <w:rPr>
          <w:rFonts w:ascii="Times New Roman" w:eastAsia="Calibri" w:hAnsi="Times New Roman" w:cs="Times New Roman"/>
          <w:b/>
          <w:bCs/>
          <w:iCs/>
          <w:color w:val="000000"/>
          <w:sz w:val="24"/>
          <w:szCs w:val="24"/>
        </w:rPr>
        <w:t>, Maurer &amp; Maynard, P.A.</w:t>
      </w:r>
    </w:p>
    <w:p w:rsidR="00297AE8" w:rsidRDefault="006E339C">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Kelli Keeler, Esq., Staff Counsel, Availity, LLC</w:t>
      </w:r>
    </w:p>
    <w:p w:rsidR="00297AE8" w:rsidRDefault="006E339C">
      <w:pPr>
        <w:ind w:firstLine="720"/>
        <w:jc w:val="both"/>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t xml:space="preserve">Erica C. Mallon, Esq., Greenway Health </w:t>
      </w:r>
    </w:p>
    <w:p w:rsidR="00297AE8" w:rsidRDefault="006E339C">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Kathleen </w:t>
      </w:r>
      <w:proofErr w:type="spellStart"/>
      <w:r>
        <w:rPr>
          <w:rFonts w:ascii="Times New Roman" w:hAnsi="Times New Roman" w:cs="Times New Roman"/>
          <w:b/>
          <w:sz w:val="24"/>
          <w:szCs w:val="24"/>
        </w:rPr>
        <w:t>Premo</w:t>
      </w:r>
      <w:proofErr w:type="spellEnd"/>
      <w:r>
        <w:rPr>
          <w:rFonts w:ascii="Times New Roman" w:hAnsi="Times New Roman" w:cs="Times New Roman"/>
          <w:b/>
          <w:sz w:val="24"/>
          <w:szCs w:val="24"/>
        </w:rPr>
        <w:t xml:space="preserve">, Esq., Elizabeth </w:t>
      </w:r>
      <w:proofErr w:type="spellStart"/>
      <w:r>
        <w:rPr>
          <w:rFonts w:ascii="Times New Roman" w:hAnsi="Times New Roman" w:cs="Times New Roman"/>
          <w:b/>
          <w:sz w:val="24"/>
          <w:szCs w:val="24"/>
        </w:rPr>
        <w:t>Sc</w:t>
      </w:r>
      <w:r>
        <w:rPr>
          <w:rFonts w:ascii="Times New Roman" w:hAnsi="Times New Roman" w:cs="Times New Roman"/>
          <w:b/>
          <w:sz w:val="24"/>
          <w:szCs w:val="24"/>
        </w:rPr>
        <w:t>arola</w:t>
      </w:r>
      <w:proofErr w:type="spellEnd"/>
      <w:r>
        <w:rPr>
          <w:rFonts w:ascii="Times New Roman" w:hAnsi="Times New Roman" w:cs="Times New Roman"/>
          <w:b/>
          <w:sz w:val="24"/>
          <w:szCs w:val="24"/>
        </w:rPr>
        <w:t>, Esq.</w:t>
      </w:r>
      <w:proofErr w:type="gramStart"/>
      <w:r>
        <w:rPr>
          <w:rFonts w:ascii="Times New Roman" w:hAnsi="Times New Roman" w:cs="Times New Roman"/>
          <w:b/>
          <w:sz w:val="24"/>
          <w:szCs w:val="24"/>
        </w:rPr>
        <w:t>,  &amp;</w:t>
      </w:r>
      <w:proofErr w:type="gramEnd"/>
      <w:r>
        <w:rPr>
          <w:rFonts w:ascii="Times New Roman" w:hAnsi="Times New Roman" w:cs="Times New Roman"/>
          <w:b/>
          <w:sz w:val="24"/>
          <w:szCs w:val="24"/>
        </w:rPr>
        <w:t xml:space="preserve"> Matthew </w:t>
      </w:r>
      <w:proofErr w:type="spellStart"/>
      <w:r>
        <w:rPr>
          <w:rFonts w:ascii="Times New Roman" w:hAnsi="Times New Roman" w:cs="Times New Roman"/>
          <w:b/>
          <w:sz w:val="24"/>
          <w:szCs w:val="24"/>
        </w:rPr>
        <w:t>Sprankle</w:t>
      </w:r>
      <w:proofErr w:type="spellEnd"/>
      <w:r>
        <w:rPr>
          <w:rFonts w:ascii="Times New Roman" w:hAnsi="Times New Roman" w:cs="Times New Roman"/>
          <w:b/>
          <w:sz w:val="24"/>
          <w:szCs w:val="24"/>
        </w:rPr>
        <w:t xml:space="preserve">, Esq., </w:t>
      </w:r>
    </w:p>
    <w:p w:rsidR="00297AE8" w:rsidRDefault="006E339C">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Epstein Becker Green, PC</w:t>
      </w:r>
    </w:p>
    <w:p w:rsidR="00297AE8" w:rsidRDefault="006E339C">
      <w:pPr>
        <w:pStyle w:val="NormalWeb"/>
        <w:shd w:val="clear" w:color="auto" w:fill="FFFFFF"/>
        <w:spacing w:before="240" w:beforeAutospacing="0" w:after="240" w:afterAutospacing="0"/>
        <w:ind w:firstLine="720"/>
        <w:jc w:val="both"/>
        <w:rPr>
          <w:b/>
          <w:color w:val="292929"/>
        </w:rPr>
      </w:pPr>
      <w:proofErr w:type="spellStart"/>
      <w:r>
        <w:rPr>
          <w:b/>
          <w:color w:val="292929"/>
        </w:rPr>
        <w:t>Anushree</w:t>
      </w:r>
      <w:proofErr w:type="spellEnd"/>
      <w:r>
        <w:rPr>
          <w:b/>
          <w:color w:val="292929"/>
        </w:rPr>
        <w:t xml:space="preserve"> (“Anu”) </w:t>
      </w:r>
      <w:proofErr w:type="spellStart"/>
      <w:r>
        <w:rPr>
          <w:b/>
          <w:color w:val="292929"/>
        </w:rPr>
        <w:t>Sagi-Nakkana</w:t>
      </w:r>
      <w:proofErr w:type="spellEnd"/>
      <w:r>
        <w:rPr>
          <w:b/>
          <w:color w:val="292929"/>
        </w:rPr>
        <w:t>, Esq.</w:t>
      </w:r>
      <w:r>
        <w:rPr>
          <w:b/>
        </w:rPr>
        <w:t>, ASN Law Firm</w:t>
      </w:r>
    </w:p>
    <w:p w:rsidR="00297AE8" w:rsidRDefault="00297AE8">
      <w:pPr>
        <w:jc w:val="both"/>
        <w:rPr>
          <w:rFonts w:ascii="Times New Roman" w:eastAsia="Calibri" w:hAnsi="Times New Roman" w:cs="Times New Roman"/>
          <w:sz w:val="24"/>
          <w:szCs w:val="24"/>
        </w:rPr>
      </w:pPr>
    </w:p>
    <w:p w:rsidR="00297AE8" w:rsidRDefault="006E339C">
      <w:pPr>
        <w:jc w:val="both"/>
        <w:rPr>
          <w:rFonts w:ascii="Times New Roman" w:eastAsia="Calibri" w:hAnsi="Times New Roman" w:cs="Times New Roman"/>
          <w:sz w:val="24"/>
          <w:szCs w:val="24"/>
        </w:rPr>
      </w:pPr>
      <w:r>
        <w:rPr>
          <w:rFonts w:ascii="Times New Roman" w:eastAsia="Calibri" w:hAnsi="Times New Roman" w:cs="Times New Roman"/>
          <w:sz w:val="24"/>
          <w:szCs w:val="24"/>
        </w:rPr>
        <w:t>Thank you,</w:t>
      </w:r>
    </w:p>
    <w:p w:rsidR="00297AE8" w:rsidRDefault="00297AE8">
      <w:pPr>
        <w:jc w:val="both"/>
        <w:rPr>
          <w:rFonts w:ascii="Times New Roman" w:eastAsia="Calibri" w:hAnsi="Times New Roman" w:cs="Times New Roman"/>
          <w:b/>
          <w:sz w:val="24"/>
          <w:szCs w:val="24"/>
        </w:rPr>
      </w:pPr>
    </w:p>
    <w:p w:rsidR="00297AE8" w:rsidRDefault="006E339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Jamie Gelfman, Esq., Nelson Mullins Broad and Cassel, HLS Editor in Chief</w:t>
      </w:r>
    </w:p>
    <w:p w:rsidR="00297AE8" w:rsidRDefault="006E339C">
      <w:pPr>
        <w:jc w:val="both"/>
        <w:rPr>
          <w:rFonts w:ascii="Times New Roman" w:eastAsia="Calibri" w:hAnsi="Times New Roman" w:cs="Times New Roman"/>
          <w:b/>
          <w:sz w:val="24"/>
          <w:szCs w:val="24"/>
        </w:rPr>
      </w:pPr>
      <w:r>
        <w:rPr>
          <w:rFonts w:ascii="Times New Roman" w:hAnsi="Times New Roman" w:cs="Times New Roman"/>
          <w:b/>
          <w:bCs/>
          <w:color w:val="000000"/>
          <w:sz w:val="24"/>
          <w:szCs w:val="24"/>
        </w:rPr>
        <w:t xml:space="preserve">Ashley </w:t>
      </w:r>
      <w:proofErr w:type="spellStart"/>
      <w:r>
        <w:rPr>
          <w:rFonts w:ascii="Times New Roman" w:hAnsi="Times New Roman" w:cs="Times New Roman"/>
          <w:b/>
          <w:bCs/>
          <w:color w:val="000000"/>
          <w:sz w:val="24"/>
          <w:szCs w:val="24"/>
        </w:rPr>
        <w:t>Brevda</w:t>
      </w:r>
      <w:proofErr w:type="spellEnd"/>
      <w:r>
        <w:rPr>
          <w:rFonts w:ascii="Times New Roman" w:hAnsi="Times New Roman" w:cs="Times New Roman"/>
          <w:b/>
          <w:bCs/>
          <w:color w:val="000000"/>
          <w:sz w:val="24"/>
          <w:szCs w:val="24"/>
        </w:rPr>
        <w:t xml:space="preserve">, Esq., Corporate </w:t>
      </w:r>
      <w:r>
        <w:rPr>
          <w:rFonts w:ascii="Times New Roman" w:hAnsi="Times New Roman" w:cs="Times New Roman"/>
          <w:b/>
          <w:color w:val="000000"/>
          <w:sz w:val="24"/>
          <w:szCs w:val="24"/>
        </w:rPr>
        <w:t>Counsel/Chief Compliance Officer, Oncology Analytics, I</w:t>
      </w:r>
      <w:r>
        <w:rPr>
          <w:rFonts w:ascii="Times New Roman" w:eastAsia="Times New Roman" w:hAnsi="Times New Roman" w:cs="Times New Roman"/>
          <w:b/>
          <w:color w:val="000000"/>
          <w:sz w:val="24"/>
          <w:szCs w:val="24"/>
        </w:rPr>
        <w:t>nc.</w:t>
      </w:r>
      <w:r>
        <w:rPr>
          <w:rFonts w:ascii="Times New Roman" w:eastAsia="Calibri" w:hAnsi="Times New Roman" w:cs="Times New Roman"/>
          <w:b/>
          <w:sz w:val="24"/>
          <w:szCs w:val="24"/>
        </w:rPr>
        <w:t>, HLS Team Editor</w:t>
      </w:r>
    </w:p>
    <w:p w:rsidR="00297AE8" w:rsidRDefault="006E339C">
      <w:pPr>
        <w:rPr>
          <w:rFonts w:ascii="Times New Roman" w:hAnsi="Times New Roman" w:cs="Times New Roman"/>
          <w:b/>
          <w:color w:val="000000" w:themeColor="text1"/>
          <w:sz w:val="24"/>
          <w:szCs w:val="24"/>
          <w:u w:val="single"/>
        </w:rPr>
      </w:pPr>
      <w:r>
        <w:rPr>
          <w:rFonts w:ascii="Times New Roman" w:eastAsia="Calibri" w:hAnsi="Times New Roman" w:cs="Times New Roman"/>
          <w:b/>
          <w:sz w:val="24"/>
          <w:szCs w:val="24"/>
        </w:rPr>
        <w:t>Trish Huie, Esq., Patricia A. Huie, PLLC, HLS Team Editor</w:t>
      </w:r>
    </w:p>
    <w:p w:rsidR="00297AE8" w:rsidRDefault="00297AE8">
      <w:pPr>
        <w:jc w:val="center"/>
        <w:rPr>
          <w:rFonts w:cs="Times New Roman"/>
          <w:b/>
          <w:color w:val="000000" w:themeColor="text1"/>
          <w:u w:val="single"/>
        </w:rPr>
      </w:pPr>
    </w:p>
    <w:p w:rsidR="00297AE8" w:rsidRDefault="00297AE8">
      <w:pPr>
        <w:jc w:val="both"/>
        <w:rPr>
          <w:rFonts w:ascii="Times New Roman" w:eastAsia="Calibri" w:hAnsi="Times New Roman" w:cs="Times New Roman"/>
          <w:b/>
          <w:sz w:val="24"/>
          <w:szCs w:val="24"/>
        </w:rPr>
      </w:pPr>
    </w:p>
    <w:p w:rsidR="00297AE8" w:rsidRDefault="00297AE8">
      <w:pPr>
        <w:jc w:val="both"/>
        <w:rPr>
          <w:rFonts w:ascii="Times New Roman" w:eastAsia="Calibri" w:hAnsi="Times New Roman" w:cs="Times New Roman"/>
          <w:b/>
          <w:sz w:val="24"/>
          <w:szCs w:val="24"/>
        </w:rPr>
      </w:pPr>
    </w:p>
    <w:p w:rsidR="00297AE8" w:rsidRDefault="006E339C">
      <w:pPr>
        <w:rPr>
          <w:rFonts w:ascii="Times New Roman" w:eastAsia="SimSun" w:hAnsi="Times New Roman" w:cs="Times New Roman"/>
          <w:b/>
          <w:bCs/>
          <w:iCs/>
          <w:sz w:val="24"/>
          <w:szCs w:val="24"/>
        </w:rPr>
      </w:pPr>
      <w:r>
        <w:rPr>
          <w:rFonts w:ascii="Times New Roman" w:eastAsia="SimSun" w:hAnsi="Times New Roman" w:cs="Times New Roman"/>
          <w:b/>
          <w:bCs/>
          <w:iCs/>
          <w:sz w:val="24"/>
          <w:szCs w:val="24"/>
        </w:rPr>
        <w:br w:type="page"/>
      </w:r>
    </w:p>
    <w:p w:rsidR="00297AE8" w:rsidRDefault="006E339C">
      <w:pPr>
        <w:pStyle w:val="BodyText"/>
        <w:jc w:val="center"/>
        <w:rPr>
          <w:rFonts w:cs="Times New Roman"/>
          <w:b/>
          <w:u w:val="single"/>
        </w:rPr>
      </w:pPr>
      <w:r>
        <w:rPr>
          <w:rFonts w:cs="Times New Roman"/>
          <w:b/>
          <w:u w:val="single"/>
        </w:rPr>
        <w:lastRenderedPageBreak/>
        <w:t>COMPLIANCE UPDATES</w:t>
      </w:r>
    </w:p>
    <w:p w:rsidR="00297AE8" w:rsidRDefault="006E339C">
      <w:pPr>
        <w:pStyle w:val="NoSpacing"/>
        <w:jc w:val="center"/>
        <w:rPr>
          <w:rFonts w:ascii="Times New Roman" w:hAnsi="Times New Roman" w:cs="Times New Roman"/>
          <w:b/>
          <w:sz w:val="24"/>
          <w:szCs w:val="24"/>
        </w:rPr>
      </w:pPr>
      <w:r>
        <w:rPr>
          <w:rFonts w:ascii="Times New Roman" w:hAnsi="Times New Roman" w:cs="Times New Roman"/>
          <w:b/>
          <w:sz w:val="24"/>
          <w:szCs w:val="24"/>
        </w:rPr>
        <w:t>Claims of Kickbacks Based on Physician Salaries</w:t>
      </w:r>
    </w:p>
    <w:p w:rsidR="00297AE8" w:rsidRDefault="006E339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Signals a Need </w:t>
      </w:r>
      <w:r>
        <w:rPr>
          <w:rFonts w:ascii="Times New Roman" w:hAnsi="Times New Roman" w:cs="Times New Roman"/>
          <w:b/>
          <w:sz w:val="24"/>
          <w:szCs w:val="24"/>
        </w:rPr>
        <w:t>for Increased Compliance Efforts</w:t>
      </w:r>
    </w:p>
    <w:p w:rsidR="00297AE8" w:rsidRDefault="00297AE8">
      <w:pPr>
        <w:pStyle w:val="NoSpacing"/>
        <w:jc w:val="center"/>
        <w:rPr>
          <w:rFonts w:ascii="Times New Roman" w:hAnsi="Times New Roman" w:cs="Times New Roman"/>
          <w:b/>
          <w:sz w:val="24"/>
          <w:szCs w:val="24"/>
        </w:rPr>
      </w:pPr>
    </w:p>
    <w:p w:rsidR="00297AE8" w:rsidRDefault="006E339C">
      <w:pPr>
        <w:pStyle w:val="BodyText"/>
        <w:jc w:val="both"/>
        <w:rPr>
          <w:rFonts w:cs="Times New Roman"/>
        </w:rPr>
      </w:pPr>
      <w:r>
        <w:rPr>
          <w:rFonts w:cs="Times New Roman"/>
        </w:rPr>
        <w:t xml:space="preserve">Compliance with health care laws and regulations not only affords protection against potential state and federal criminal and civil </w:t>
      </w:r>
      <w:proofErr w:type="gramStart"/>
      <w:r>
        <w:rPr>
          <w:rFonts w:cs="Times New Roman"/>
        </w:rPr>
        <w:t>prosecution, but</w:t>
      </w:r>
      <w:proofErr w:type="gramEnd"/>
      <w:r>
        <w:rPr>
          <w:rFonts w:cs="Times New Roman"/>
        </w:rPr>
        <w:t xml:space="preserve"> is also essential for protection against litigation from private individu</w:t>
      </w:r>
      <w:r>
        <w:rPr>
          <w:rFonts w:cs="Times New Roman"/>
        </w:rPr>
        <w:t>als and entities.</w:t>
      </w:r>
    </w:p>
    <w:p w:rsidR="00297AE8" w:rsidRDefault="006E339C">
      <w:pPr>
        <w:pStyle w:val="BodyText"/>
        <w:jc w:val="both"/>
        <w:rPr>
          <w:rFonts w:cs="Times New Roman"/>
        </w:rPr>
      </w:pPr>
      <w:r>
        <w:rPr>
          <w:rFonts w:cs="Times New Roman"/>
        </w:rPr>
        <w:t>Lee Heath, a public health system</w:t>
      </w:r>
      <w:r>
        <w:rPr>
          <w:rStyle w:val="EndnoteReference"/>
          <w:rFonts w:cs="Times New Roman"/>
        </w:rPr>
        <w:endnoteReference w:id="1"/>
      </w:r>
      <w:r>
        <w:rPr>
          <w:rFonts w:cs="Times New Roman"/>
        </w:rPr>
        <w:t xml:space="preserve"> that operates six hospitals in Florida, is facing allegations of kickbacks from its former head internal auditor, who brought a lawsuit against the health system alleging that it inappropriately compensa</w:t>
      </w:r>
      <w:r>
        <w:rPr>
          <w:rFonts w:cs="Times New Roman"/>
        </w:rPr>
        <w:t>ted physicians with inflated salaries.</w:t>
      </w:r>
      <w:r>
        <w:rPr>
          <w:rStyle w:val="EndnoteReference"/>
          <w:rFonts w:cs="Times New Roman"/>
        </w:rPr>
        <w:endnoteReference w:id="2"/>
      </w:r>
      <w:r>
        <w:rPr>
          <w:rFonts w:cs="Times New Roman"/>
        </w:rPr>
        <w:t xml:space="preserve">  Salaries are generally believed to be a more protective form of compensation from a compliance standpoint because they are paid to employees of the given company and they are an earned form of payment. Further, the </w:t>
      </w:r>
      <w:r>
        <w:rPr>
          <w:rFonts w:cs="Times New Roman"/>
        </w:rPr>
        <w:t>federal anti-kickback laws contain an exception for remuneration paid to bona fide employees.</w:t>
      </w:r>
      <w:r>
        <w:rPr>
          <w:rStyle w:val="EndnoteReference"/>
          <w:rFonts w:cs="Times New Roman"/>
        </w:rPr>
        <w:endnoteReference w:id="3"/>
      </w:r>
      <w:r>
        <w:rPr>
          <w:rFonts w:cs="Times New Roman"/>
        </w:rPr>
        <w:t xml:space="preserve">  However, the former auditor of Lee Health purports that the salaries paid by Lee Health should not be afforded such protection.  </w:t>
      </w:r>
    </w:p>
    <w:p w:rsidR="00297AE8" w:rsidRDefault="006E339C">
      <w:pPr>
        <w:pStyle w:val="BodyText"/>
        <w:tabs>
          <w:tab w:val="left" w:pos="6540"/>
        </w:tabs>
        <w:jc w:val="both"/>
        <w:rPr>
          <w:rFonts w:cs="Times New Roman"/>
        </w:rPr>
      </w:pPr>
      <w:r>
        <w:rPr>
          <w:rFonts w:cs="Times New Roman"/>
        </w:rPr>
        <w:t>Although the case was filed in</w:t>
      </w:r>
      <w:r>
        <w:rPr>
          <w:rFonts w:cs="Times New Roman"/>
        </w:rPr>
        <w:t xml:space="preserve"> 2017, the clerk recently unsealed the case, making it public in September 2018.</w:t>
      </w:r>
      <w:r>
        <w:rPr>
          <w:rStyle w:val="EndnoteReference"/>
          <w:rFonts w:cs="Times New Roman"/>
        </w:rPr>
        <w:endnoteReference w:id="4"/>
      </w:r>
      <w:r>
        <w:rPr>
          <w:rFonts w:cs="Times New Roman"/>
        </w:rPr>
        <w:t xml:space="preserve"> Since then, Lee Health’s attempts to re-seal exhibits revealing physician compensation have been denied.</w:t>
      </w:r>
    </w:p>
    <w:p w:rsidR="00297AE8" w:rsidRDefault="006E339C">
      <w:pPr>
        <w:pStyle w:val="BodyText"/>
        <w:jc w:val="both"/>
        <w:rPr>
          <w:rFonts w:cs="Times New Roman"/>
        </w:rPr>
      </w:pPr>
      <w:r>
        <w:rPr>
          <w:rFonts w:cs="Times New Roman"/>
        </w:rPr>
        <w:t>The claims about the alleged salaries describe an environment where c</w:t>
      </w:r>
      <w:r>
        <w:rPr>
          <w:rFonts w:cs="Times New Roman"/>
        </w:rPr>
        <w:t xml:space="preserve">ertain physicians who had a sizable impact on business generation were paid significantly more than other physicians. The lawsuit alleges that from 2005 through 2014, these physicians were financially incentivized to generate business through referrals by </w:t>
      </w:r>
      <w:r>
        <w:rPr>
          <w:rFonts w:cs="Times New Roman"/>
        </w:rPr>
        <w:t xml:space="preserve">receiving compensation well above fair market value for their professional medical services. The suit also </w:t>
      </w:r>
      <w:proofErr w:type="gramStart"/>
      <w:r>
        <w:rPr>
          <w:rFonts w:cs="Times New Roman"/>
        </w:rPr>
        <w:t>describe</w:t>
      </w:r>
      <w:proofErr w:type="gramEnd"/>
      <w:r>
        <w:rPr>
          <w:rFonts w:cs="Times New Roman"/>
        </w:rPr>
        <w:t xml:space="preserve"> practices whereby services performed by nurses and other non-physician providers were billed as though they were performed by the physicians</w:t>
      </w:r>
      <w:r>
        <w:rPr>
          <w:rFonts w:cs="Times New Roman"/>
        </w:rPr>
        <w:t xml:space="preserve"> themselves to generate higher reimbursement rates.</w:t>
      </w:r>
    </w:p>
    <w:p w:rsidR="00297AE8" w:rsidRDefault="006E339C">
      <w:pPr>
        <w:pStyle w:val="BodyText"/>
        <w:tabs>
          <w:tab w:val="left" w:pos="6540"/>
        </w:tabs>
        <w:jc w:val="both"/>
        <w:rPr>
          <w:rFonts w:cs="Times New Roman"/>
        </w:rPr>
      </w:pPr>
      <w:r>
        <w:rPr>
          <w:rFonts w:cs="Times New Roman"/>
        </w:rPr>
        <w:t xml:space="preserve">It’s worth noting that this lawsuit comes after Lee Memorial Hospital, one of Lee Health’s hospitals, settled a False Claims Act case for about $160,000 with the Department of Justice in 2012 relating to </w:t>
      </w:r>
      <w:r>
        <w:rPr>
          <w:rFonts w:cs="Times New Roman"/>
        </w:rPr>
        <w:t>allegations of over-charging Medicare from 2000 to 2008.</w:t>
      </w:r>
      <w:r>
        <w:rPr>
          <w:rStyle w:val="EndnoteReference"/>
          <w:rFonts w:cs="Times New Roman"/>
        </w:rPr>
        <w:endnoteReference w:id="5"/>
      </w:r>
    </w:p>
    <w:p w:rsidR="00297AE8" w:rsidRDefault="006E339C">
      <w:pPr>
        <w:pStyle w:val="BodyText"/>
        <w:tabs>
          <w:tab w:val="left" w:pos="6540"/>
        </w:tabs>
        <w:jc w:val="both"/>
        <w:rPr>
          <w:rFonts w:cs="Times New Roman"/>
        </w:rPr>
      </w:pPr>
      <w:r>
        <w:rPr>
          <w:rFonts w:cs="Times New Roman"/>
        </w:rPr>
        <w:t xml:space="preserve">This lawsuit is a reminder that caution must be paid not only to the structure of an arrangement, but also to the execution of an arrangement involving compensating providers and billing for health </w:t>
      </w:r>
      <w:r>
        <w:rPr>
          <w:rFonts w:cs="Times New Roman"/>
        </w:rPr>
        <w:t>care services. Although the anti-kickback safe harbors and exceptions illustrate situations where risk of health care fraud and abuse may be mitigated, it does not guarantee protection from potential enforcement actions.</w:t>
      </w:r>
    </w:p>
    <w:p w:rsidR="00297AE8" w:rsidRDefault="006E339C">
      <w:pPr>
        <w:pStyle w:val="BodyText"/>
        <w:jc w:val="both"/>
        <w:rPr>
          <w:rFonts w:cs="Times New Roman"/>
        </w:rPr>
      </w:pPr>
      <w:r>
        <w:rPr>
          <w:rFonts w:cs="Times New Roman"/>
        </w:rPr>
        <w:t>Physician compensation should be co</w:t>
      </w:r>
      <w:r>
        <w:rPr>
          <w:rFonts w:cs="Times New Roman"/>
        </w:rPr>
        <w:t>nsistent with fair market value, commercially reasonable, and compensation should not be based on the business generated by the provider for additional protection from risk of litigation or government enforcement actions.  The Stark law defines “fair marke</w:t>
      </w:r>
      <w:r>
        <w:rPr>
          <w:rFonts w:cs="Times New Roman"/>
        </w:rPr>
        <w:t>t value” for us at 42 C.F.R. 411.351</w:t>
      </w:r>
      <w:r>
        <w:rPr>
          <w:rStyle w:val="EndnoteReference"/>
          <w:rFonts w:cs="Times New Roman"/>
        </w:rPr>
        <w:endnoteReference w:id="6"/>
      </w:r>
      <w:r>
        <w:rPr>
          <w:rFonts w:cs="Times New Roman"/>
        </w:rPr>
        <w:t xml:space="preserve"> as:</w:t>
      </w:r>
    </w:p>
    <w:p w:rsidR="00297AE8" w:rsidRDefault="006E339C">
      <w:pPr>
        <w:pStyle w:val="BodyText"/>
        <w:ind w:left="720" w:right="720"/>
        <w:jc w:val="both"/>
        <w:rPr>
          <w:rFonts w:cs="Times New Roman"/>
          <w:shd w:val="clear" w:color="auto" w:fill="FFFFFF"/>
        </w:rPr>
      </w:pPr>
      <w:r>
        <w:rPr>
          <w:rFonts w:cs="Times New Roman"/>
          <w:shd w:val="clear" w:color="auto" w:fill="FFFFFF"/>
        </w:rPr>
        <w:t xml:space="preserve">[T]he </w:t>
      </w:r>
      <w:proofErr w:type="gramStart"/>
      <w:r>
        <w:rPr>
          <w:rFonts w:cs="Times New Roman"/>
          <w:shd w:val="clear" w:color="auto" w:fill="FFFFFF"/>
        </w:rPr>
        <w:t>value</w:t>
      </w:r>
      <w:proofErr w:type="gramEnd"/>
      <w:r>
        <w:rPr>
          <w:rFonts w:cs="Times New Roman"/>
          <w:shd w:val="clear" w:color="auto" w:fill="FFFFFF"/>
        </w:rPr>
        <w:t xml:space="preserve"> in arm's-length transactions, consistent with the general market value.  “General market value” means the price that an asset would bring as the result of </w:t>
      </w:r>
      <w:r>
        <w:rPr>
          <w:rStyle w:val="et03"/>
          <w:rFonts w:cs="Times New Roman"/>
          <w:i/>
          <w:iCs/>
          <w:shd w:val="clear" w:color="auto" w:fill="FFFFFF"/>
        </w:rPr>
        <w:t>bona fide</w:t>
      </w:r>
      <w:r>
        <w:rPr>
          <w:rFonts w:cs="Times New Roman"/>
          <w:shd w:val="clear" w:color="auto" w:fill="FFFFFF"/>
        </w:rPr>
        <w:t> bargaining between well-informed buye</w:t>
      </w:r>
      <w:r>
        <w:rPr>
          <w:rFonts w:cs="Times New Roman"/>
          <w:shd w:val="clear" w:color="auto" w:fill="FFFFFF"/>
        </w:rPr>
        <w:t xml:space="preserve">rs and sellers who are </w:t>
      </w:r>
      <w:r>
        <w:rPr>
          <w:rFonts w:cs="Times New Roman"/>
          <w:shd w:val="clear" w:color="auto" w:fill="FFFFFF"/>
        </w:rPr>
        <w:lastRenderedPageBreak/>
        <w:t>not otherwise in a position to generate business for the other party, or the compensation that would be included in a service agreement as the result of </w:t>
      </w:r>
      <w:r>
        <w:rPr>
          <w:rStyle w:val="et03"/>
          <w:rFonts w:cs="Times New Roman"/>
          <w:i/>
          <w:iCs/>
          <w:shd w:val="clear" w:color="auto" w:fill="FFFFFF"/>
        </w:rPr>
        <w:t>bona fide</w:t>
      </w:r>
      <w:r>
        <w:rPr>
          <w:rFonts w:cs="Times New Roman"/>
          <w:shd w:val="clear" w:color="auto" w:fill="FFFFFF"/>
        </w:rPr>
        <w:t xml:space="preserve"> bargaining between well-informed parties to the agreement who are not </w:t>
      </w:r>
      <w:r>
        <w:rPr>
          <w:rFonts w:cs="Times New Roman"/>
          <w:shd w:val="clear" w:color="auto" w:fill="FFFFFF"/>
        </w:rPr>
        <w:t xml:space="preserve">otherwise in a position to generate business for the other party, on the date of acquisition of the asset or at the time of the service agreement. </w:t>
      </w:r>
      <w:r>
        <w:rPr>
          <w:rFonts w:cs="Times New Roman"/>
          <w:b/>
          <w:i/>
          <w:shd w:val="clear" w:color="auto" w:fill="FFFFFF"/>
        </w:rPr>
        <w:t>Usually, the fair market price is</w:t>
      </w:r>
      <w:r>
        <w:rPr>
          <w:rFonts w:cs="Times New Roman"/>
          <w:shd w:val="clear" w:color="auto" w:fill="FFFFFF"/>
        </w:rPr>
        <w:t xml:space="preserve"> the price at which </w:t>
      </w:r>
      <w:r>
        <w:rPr>
          <w:rStyle w:val="et03"/>
          <w:rFonts w:cs="Times New Roman"/>
          <w:i/>
          <w:iCs/>
          <w:shd w:val="clear" w:color="auto" w:fill="FFFFFF"/>
        </w:rPr>
        <w:t>bona fide</w:t>
      </w:r>
      <w:r>
        <w:rPr>
          <w:rFonts w:cs="Times New Roman"/>
          <w:shd w:val="clear" w:color="auto" w:fill="FFFFFF"/>
        </w:rPr>
        <w:t> sales have been consummated for assets of like</w:t>
      </w:r>
      <w:r>
        <w:rPr>
          <w:rFonts w:cs="Times New Roman"/>
          <w:shd w:val="clear" w:color="auto" w:fill="FFFFFF"/>
        </w:rPr>
        <w:t xml:space="preserve"> type, quality, and quantity in a particular market at the time of acquisition, or </w:t>
      </w:r>
      <w:r>
        <w:rPr>
          <w:rFonts w:cs="Times New Roman"/>
          <w:b/>
          <w:i/>
          <w:shd w:val="clear" w:color="auto" w:fill="FFFFFF"/>
        </w:rPr>
        <w:t>the compensation that has been included in </w:t>
      </w:r>
      <w:r>
        <w:rPr>
          <w:rStyle w:val="et03"/>
          <w:rFonts w:cs="Times New Roman"/>
          <w:b/>
          <w:i/>
          <w:iCs/>
          <w:shd w:val="clear" w:color="auto" w:fill="FFFFFF"/>
        </w:rPr>
        <w:t>bona fide</w:t>
      </w:r>
      <w:r>
        <w:rPr>
          <w:rFonts w:cs="Times New Roman"/>
          <w:b/>
          <w:i/>
          <w:shd w:val="clear" w:color="auto" w:fill="FFFFFF"/>
        </w:rPr>
        <w:t xml:space="preserve"> service agreements with comparable terms at the time of the agreement, where the price or compensation has not been </w:t>
      </w:r>
      <w:r>
        <w:rPr>
          <w:rFonts w:cs="Times New Roman"/>
          <w:b/>
          <w:i/>
          <w:shd w:val="clear" w:color="auto" w:fill="FFFFFF"/>
        </w:rPr>
        <w:t>determined in any manner that takes into account the volume or value of anticipated or actual referrals</w:t>
      </w:r>
      <w:r>
        <w:rPr>
          <w:rFonts w:cs="Times New Roman"/>
          <w:shd w:val="clear" w:color="auto" w:fill="FFFFFF"/>
        </w:rPr>
        <w:t>.</w:t>
      </w:r>
    </w:p>
    <w:p w:rsidR="00297AE8" w:rsidRDefault="006E339C">
      <w:pPr>
        <w:pStyle w:val="BodyText"/>
        <w:jc w:val="both"/>
        <w:rPr>
          <w:rFonts w:cs="Times New Roman"/>
          <w:shd w:val="clear" w:color="auto" w:fill="FFFFFF"/>
        </w:rPr>
      </w:pPr>
      <w:r>
        <w:rPr>
          <w:rFonts w:cs="Times New Roman"/>
          <w:shd w:val="clear" w:color="auto" w:fill="FFFFFF"/>
        </w:rPr>
        <w:t>When determining appropriate compensation for physicians or other professionals, providers should take comparable compensation for similar services int</w:t>
      </w:r>
      <w:r>
        <w:rPr>
          <w:rFonts w:cs="Times New Roman"/>
          <w:shd w:val="clear" w:color="auto" w:fill="FFFFFF"/>
        </w:rPr>
        <w:t>o consideration at the time of preparation of the employment agreement, and the compensation should not differ based upon the physicians’ potential or actual business generated for the provider, as reflected in the definition of “fair market value.”  Final</w:t>
      </w:r>
      <w:r>
        <w:rPr>
          <w:rFonts w:cs="Times New Roman"/>
          <w:shd w:val="clear" w:color="auto" w:fill="FFFFFF"/>
        </w:rPr>
        <w:t xml:space="preserve">ly, all compliance efforts should be documented and readily available in case questions arise in the future.  </w:t>
      </w:r>
    </w:p>
    <w:p w:rsidR="00297AE8" w:rsidRDefault="006E339C">
      <w:pPr>
        <w:pStyle w:val="BodyText"/>
        <w:jc w:val="both"/>
        <w:rPr>
          <w:rFonts w:cs="Times New Roman"/>
          <w:b/>
        </w:rPr>
      </w:pPr>
      <w:r>
        <w:rPr>
          <w:rFonts w:cs="Times New Roman"/>
          <w:b/>
          <w:color w:val="333333"/>
          <w:shd w:val="clear" w:color="auto" w:fill="FFFFFF"/>
        </w:rPr>
        <w:t>Submitted by:</w:t>
      </w:r>
      <w:r>
        <w:rPr>
          <w:rFonts w:cs="Times New Roman"/>
          <w:b/>
          <w:color w:val="333333"/>
          <w:shd w:val="clear" w:color="auto" w:fill="FFFFFF"/>
        </w:rPr>
        <w:tab/>
        <w:t xml:space="preserve">Jocelyn </w:t>
      </w:r>
      <w:r>
        <w:rPr>
          <w:rFonts w:cs="Times New Roman"/>
          <w:b/>
        </w:rPr>
        <w:t xml:space="preserve">E. </w:t>
      </w:r>
      <w:proofErr w:type="spellStart"/>
      <w:r>
        <w:rPr>
          <w:rFonts w:cs="Times New Roman"/>
          <w:b/>
        </w:rPr>
        <w:t>Ezratty</w:t>
      </w:r>
      <w:proofErr w:type="spellEnd"/>
      <w:r>
        <w:rPr>
          <w:rFonts w:cs="Times New Roman"/>
          <w:b/>
        </w:rPr>
        <w:t>, Esq., Brach Eichler, LLC</w:t>
      </w:r>
    </w:p>
    <w:p w:rsidR="00297AE8" w:rsidRDefault="00297AE8">
      <w:pPr>
        <w:pStyle w:val="BodyText"/>
        <w:spacing w:after="0"/>
        <w:jc w:val="both"/>
        <w:rPr>
          <w:rFonts w:cs="Times New Roman"/>
          <w:b/>
        </w:rPr>
      </w:pPr>
    </w:p>
    <w:p w:rsidR="00297AE8" w:rsidRDefault="006E339C">
      <w:pPr>
        <w:pStyle w:val="BodyText"/>
        <w:jc w:val="center"/>
        <w:rPr>
          <w:rFonts w:cs="Times New Roman"/>
          <w:b/>
          <w:u w:val="single"/>
        </w:rPr>
      </w:pPr>
      <w:r>
        <w:rPr>
          <w:rFonts w:cs="Times New Roman"/>
          <w:b/>
          <w:u w:val="single"/>
        </w:rPr>
        <w:t>LEGISLATIVE UPDATES</w:t>
      </w:r>
    </w:p>
    <w:p w:rsidR="00297AE8" w:rsidRDefault="006E339C">
      <w:pPr>
        <w:pStyle w:val="BodyText"/>
        <w:spacing w:after="0"/>
        <w:jc w:val="center"/>
        <w:rPr>
          <w:rFonts w:cs="Times New Roman"/>
          <w:b/>
        </w:rPr>
      </w:pPr>
      <w:r>
        <w:rPr>
          <w:rFonts w:cs="Times New Roman"/>
          <w:b/>
        </w:rPr>
        <w:t xml:space="preserve">Audited Financials No Longer Needed in General Hospital </w:t>
      </w:r>
    </w:p>
    <w:p w:rsidR="00297AE8" w:rsidRDefault="006E339C">
      <w:pPr>
        <w:pStyle w:val="BodyText"/>
        <w:spacing w:after="0"/>
        <w:jc w:val="center"/>
        <w:rPr>
          <w:rFonts w:cs="Times New Roman"/>
          <w:b/>
        </w:rPr>
      </w:pPr>
      <w:r>
        <w:rPr>
          <w:rFonts w:cs="Times New Roman"/>
          <w:b/>
        </w:rPr>
        <w:t>Certific</w:t>
      </w:r>
      <w:r>
        <w:rPr>
          <w:rFonts w:cs="Times New Roman"/>
          <w:b/>
        </w:rPr>
        <w:t>ate of Need Applications</w:t>
      </w:r>
    </w:p>
    <w:p w:rsidR="00297AE8" w:rsidRDefault="00297AE8">
      <w:pPr>
        <w:spacing w:after="0"/>
        <w:jc w:val="center"/>
        <w:rPr>
          <w:rFonts w:ascii="Times New Roman" w:hAnsi="Times New Roman" w:cs="Times New Roman"/>
          <w:b/>
          <w:sz w:val="24"/>
          <w:szCs w:val="24"/>
        </w:rPr>
      </w:pP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 xml:space="preserve">On May 8, 2018, Administrative Law Judge (“ALJ”) David Watkins issued a final order in </w:t>
      </w:r>
      <w:r>
        <w:rPr>
          <w:rFonts w:ascii="Times New Roman" w:hAnsi="Times New Roman" w:cs="Times New Roman"/>
          <w:i/>
          <w:sz w:val="24"/>
          <w:szCs w:val="24"/>
        </w:rPr>
        <w:t>Venice HMA Hospital, LLC d/b/a Venice Regional Bayfront Health v. Agency for Health Care Administration</w:t>
      </w:r>
      <w:r>
        <w:rPr>
          <w:rFonts w:ascii="Times New Roman" w:hAnsi="Times New Roman" w:cs="Times New Roman"/>
          <w:sz w:val="24"/>
          <w:szCs w:val="24"/>
        </w:rPr>
        <w:t>, invalidating Rule 59C-1.008(4), Florid</w:t>
      </w:r>
      <w:r>
        <w:rPr>
          <w:rFonts w:ascii="Times New Roman" w:hAnsi="Times New Roman" w:cs="Times New Roman"/>
          <w:sz w:val="24"/>
          <w:szCs w:val="24"/>
        </w:rPr>
        <w:t>a Administrative Code, to the extent that the Rule required Certificate of Need (“CON”) applicants for general hospitals to submit audited financial statements with their CON applications.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ALJ Watkins concluded that Rule 59C-1.008(4), Florida Administrati</w:t>
      </w:r>
      <w:r>
        <w:rPr>
          <w:rFonts w:ascii="Times New Roman" w:hAnsi="Times New Roman" w:cs="Times New Roman"/>
          <w:sz w:val="24"/>
          <w:szCs w:val="24"/>
        </w:rPr>
        <w:t xml:space="preserve">ve Code, was an invalid exercise of delegated authority, as applied to CON applicants for general hospitals because: </w:t>
      </w:r>
    </w:p>
    <w:p w:rsidR="00297AE8" w:rsidRDefault="006E339C">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General hospitals are not required to submit proof of financial ability to operate at the time of the submission of the CON </w:t>
      </w:r>
      <w:r>
        <w:rPr>
          <w:rFonts w:ascii="Times New Roman" w:hAnsi="Times New Roman" w:cs="Times New Roman"/>
          <w:sz w:val="24"/>
          <w:szCs w:val="24"/>
        </w:rPr>
        <w:t>application. In accordance with rule 59C-1.010(2)(d), general hospitals are required to comply with the requirements of sections 408.035(2) and 408.037(2). Neither of those statutes requires that a general hospital applicant submit proof of financial abili</w:t>
      </w:r>
      <w:r>
        <w:rPr>
          <w:rFonts w:ascii="Times New Roman" w:hAnsi="Times New Roman" w:cs="Times New Roman"/>
          <w:sz w:val="24"/>
          <w:szCs w:val="24"/>
        </w:rPr>
        <w:t>ty to operate until 120 days after the issuance of the final CON to the applicant.</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This holding is particularly important because the controversy arose from an administrative proceeding where a general hospital application was being reviewed.</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The CON </w:t>
      </w:r>
      <w:r>
        <w:rPr>
          <w:rFonts w:ascii="Times New Roman" w:hAnsi="Times New Roman" w:cs="Times New Roman"/>
          <w:sz w:val="24"/>
          <w:szCs w:val="24"/>
        </w:rPr>
        <w:t xml:space="preserve">applicant, Venice Regional Medical Center, argued that it was irrelevant that it had failed to include audited financial statements with its CON application, since financial feasibility was no longer an applicable </w:t>
      </w:r>
      <w:r>
        <w:rPr>
          <w:rFonts w:ascii="Times New Roman" w:hAnsi="Times New Roman" w:cs="Times New Roman"/>
          <w:sz w:val="24"/>
          <w:szCs w:val="24"/>
        </w:rPr>
        <w:lastRenderedPageBreak/>
        <w:t>criterion. The applicant further argued th</w:t>
      </w:r>
      <w:r>
        <w:rPr>
          <w:rFonts w:ascii="Times New Roman" w:hAnsi="Times New Roman" w:cs="Times New Roman"/>
          <w:sz w:val="24"/>
          <w:szCs w:val="24"/>
        </w:rPr>
        <w:t>at regardless of its failure to include the audited financial statements, its CON application should be deemed complete.  As noted above, ALJ Watkins agreed with the applicant’s reasoning on this point. The holding in Venice HMA Hospital underscores that a</w:t>
      </w:r>
      <w:r>
        <w:rPr>
          <w:rFonts w:ascii="Times New Roman" w:hAnsi="Times New Roman" w:cs="Times New Roman"/>
          <w:sz w:val="24"/>
          <w:szCs w:val="24"/>
        </w:rPr>
        <w:t xml:space="preserve"> CON applicant for a general hospital is no longer required to support or defend its project’s short-term or long-term financial viability during the application review process.</w:t>
      </w:r>
    </w:p>
    <w:p w:rsidR="00297AE8" w:rsidRDefault="006E339C">
      <w:pPr>
        <w:pStyle w:val="NoSpacing"/>
        <w:jc w:val="both"/>
        <w:rPr>
          <w:rFonts w:ascii="Times New Roman" w:hAnsi="Times New Roman" w:cs="Times New Roman"/>
          <w:sz w:val="24"/>
          <w:szCs w:val="24"/>
        </w:rPr>
      </w:pPr>
      <w:r>
        <w:rPr>
          <w:rFonts w:ascii="Times New Roman" w:eastAsiaTheme="minorEastAsia" w:hAnsi="Times New Roman" w:cs="Times New Roman"/>
          <w:b/>
          <w:iCs/>
          <w:sz w:val="24"/>
          <w:szCs w:val="24"/>
        </w:rPr>
        <w:t>Submitted by:</w:t>
      </w:r>
      <w:r>
        <w:rPr>
          <w:rFonts w:ascii="Times New Roman" w:eastAsiaTheme="minorEastAsia" w:hAnsi="Times New Roman" w:cs="Times New Roman"/>
          <w:b/>
          <w:iCs/>
          <w:sz w:val="24"/>
          <w:szCs w:val="24"/>
        </w:rPr>
        <w:tab/>
        <w:t xml:space="preserve">Angelina Gonzalez, Esq., Associate, </w:t>
      </w:r>
      <w:proofErr w:type="spellStart"/>
      <w:r>
        <w:rPr>
          <w:rFonts w:ascii="Times New Roman" w:eastAsiaTheme="minorEastAsia" w:hAnsi="Times New Roman" w:cs="Times New Roman"/>
          <w:b/>
          <w:iCs/>
          <w:sz w:val="24"/>
          <w:szCs w:val="24"/>
        </w:rPr>
        <w:t>Panza</w:t>
      </w:r>
      <w:proofErr w:type="spellEnd"/>
      <w:r>
        <w:rPr>
          <w:rFonts w:ascii="Times New Roman" w:eastAsiaTheme="minorEastAsia" w:hAnsi="Times New Roman" w:cs="Times New Roman"/>
          <w:b/>
          <w:iCs/>
          <w:sz w:val="24"/>
          <w:szCs w:val="24"/>
        </w:rPr>
        <w:t>, Maurer &amp; Maynard, P.A</w:t>
      </w:r>
      <w:r>
        <w:rPr>
          <w:rFonts w:ascii="Times New Roman" w:eastAsiaTheme="minorEastAsia" w:hAnsi="Times New Roman" w:cs="Times New Roman"/>
          <w:b/>
          <w:iCs/>
          <w:sz w:val="24"/>
          <w:szCs w:val="24"/>
        </w:rPr>
        <w:t>.</w:t>
      </w:r>
    </w:p>
    <w:p w:rsidR="00297AE8" w:rsidRDefault="00297AE8">
      <w:pPr>
        <w:jc w:val="center"/>
        <w:rPr>
          <w:rFonts w:ascii="Times New Roman" w:hAnsi="Times New Roman" w:cs="Times New Roman"/>
          <w:b/>
          <w:sz w:val="24"/>
          <w:szCs w:val="24"/>
        </w:rPr>
      </w:pPr>
    </w:p>
    <w:p w:rsidR="00297AE8" w:rsidRDefault="006E33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CMS Final Rule Expands Medicare’s Reimbursement for Physician Services </w:t>
      </w:r>
    </w:p>
    <w:p w:rsidR="00297AE8" w:rsidRDefault="006E339C">
      <w:pPr>
        <w:spacing w:after="0"/>
        <w:jc w:val="center"/>
        <w:rPr>
          <w:rFonts w:ascii="Times New Roman" w:hAnsi="Times New Roman" w:cs="Times New Roman"/>
          <w:b/>
          <w:sz w:val="24"/>
          <w:szCs w:val="24"/>
        </w:rPr>
      </w:pPr>
      <w:r>
        <w:rPr>
          <w:rFonts w:ascii="Times New Roman" w:hAnsi="Times New Roman" w:cs="Times New Roman"/>
          <w:b/>
          <w:sz w:val="24"/>
          <w:szCs w:val="24"/>
        </w:rPr>
        <w:t>Furnished Using Communication Technology</w:t>
      </w:r>
    </w:p>
    <w:p w:rsidR="00297AE8" w:rsidRDefault="00297AE8">
      <w:pPr>
        <w:spacing w:after="0"/>
        <w:jc w:val="center"/>
        <w:rPr>
          <w:rFonts w:ascii="Times New Roman" w:hAnsi="Times New Roman" w:cs="Times New Roman"/>
          <w:b/>
          <w:sz w:val="24"/>
          <w:szCs w:val="24"/>
        </w:rPr>
      </w:pPr>
    </w:p>
    <w:p w:rsidR="00297AE8" w:rsidRDefault="006E339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 November 1, 2018, the Centers for Medicare and Medicaid Services (“CMS”) finalized proposals to separately pay for a newly defined physician’s service furnished using communication technology:  the “virtual check-in” (the “Final Rule”).</w:t>
      </w:r>
      <w:r>
        <w:rPr>
          <w:rFonts w:ascii="Times New Roman" w:hAnsi="Times New Roman" w:cs="Times New Roman"/>
          <w:sz w:val="20"/>
          <w:szCs w:val="20"/>
          <w:shd w:val="clear" w:color="auto" w:fill="FFFFFF"/>
          <w:vertAlign w:val="superscript"/>
        </w:rPr>
        <w:endnoteReference w:id="10"/>
      </w:r>
      <w:r>
        <w:rPr>
          <w:rFonts w:ascii="Times New Roman" w:hAnsi="Times New Roman" w:cs="Times New Roman"/>
          <w:sz w:val="24"/>
          <w:szCs w:val="24"/>
          <w:shd w:val="clear" w:color="auto" w:fill="FFFFFF"/>
        </w:rPr>
        <w:t xml:space="preserve"> The Final Rule </w:t>
      </w:r>
      <w:r>
        <w:rPr>
          <w:rFonts w:ascii="Times New Roman" w:hAnsi="Times New Roman" w:cs="Times New Roman"/>
          <w:sz w:val="24"/>
          <w:szCs w:val="24"/>
          <w:shd w:val="clear" w:color="auto" w:fill="FFFFFF"/>
        </w:rPr>
        <w:t>permits physicians and certain qualified practitioners (defined below) to be reimbursed for providing communication technology-based services to established patients beginning on January 1, 2019.  The Final Rule promotes Medicare beneficiaries’ access to t</w:t>
      </w:r>
      <w:r>
        <w:rPr>
          <w:rFonts w:ascii="Times New Roman" w:hAnsi="Times New Roman" w:cs="Times New Roman"/>
          <w:sz w:val="24"/>
          <w:szCs w:val="24"/>
          <w:shd w:val="clear" w:color="auto" w:fill="FFFFFF"/>
        </w:rPr>
        <w:t>hese telehealth services by removing certain restrictions traditionally placed on delivery of telehealth services and creating various payment codes for telehealth and telehealth-like services.</w:t>
      </w:r>
      <w:r>
        <w:rPr>
          <w:rFonts w:ascii="Times New Roman" w:hAnsi="Times New Roman" w:cs="Times New Roman"/>
          <w:sz w:val="20"/>
          <w:szCs w:val="20"/>
          <w:shd w:val="clear" w:color="auto" w:fill="FFFFFF"/>
          <w:vertAlign w:val="superscript"/>
        </w:rPr>
        <w:endnoteReference w:id="11"/>
      </w:r>
      <w:r>
        <w:rPr>
          <w:rFonts w:ascii="Times New Roman" w:hAnsi="Times New Roman" w:cs="Times New Roman"/>
          <w:sz w:val="20"/>
          <w:szCs w:val="20"/>
          <w:shd w:val="clear" w:color="auto" w:fill="FFFFFF"/>
          <w:vertAlign w:val="superscript"/>
        </w:rPr>
        <w:t xml:space="preserve"> </w:t>
      </w:r>
    </w:p>
    <w:p w:rsidR="00297AE8" w:rsidRDefault="006E339C">
      <w:pPr>
        <w:pStyle w:val="ListParagraph"/>
        <w:numPr>
          <w:ilvl w:val="0"/>
          <w:numId w:val="2"/>
        </w:numPr>
        <w:spacing w:after="240"/>
        <w:jc w:val="both"/>
        <w:rPr>
          <w:i/>
        </w:rPr>
      </w:pPr>
      <w:r>
        <w:t>CMS Pays for the Newly Defined “Virtual Check-In”</w:t>
      </w:r>
    </w:p>
    <w:p w:rsidR="00297AE8" w:rsidRDefault="006E339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Beginning </w:t>
      </w:r>
      <w:r>
        <w:rPr>
          <w:rFonts w:ascii="Times New Roman" w:hAnsi="Times New Roman" w:cs="Times New Roman"/>
          <w:sz w:val="24"/>
          <w:szCs w:val="24"/>
          <w:shd w:val="clear" w:color="auto" w:fill="FFFFFF"/>
        </w:rPr>
        <w:t>January 1, 2019, reimbursement will be available to physicians or those who can report evaluation and management (“E/M”) services in accordance with applicable state law and CMS billing and coding standards (“qualified practitioners”) for a brief, non-face</w:t>
      </w:r>
      <w:r>
        <w:rPr>
          <w:rFonts w:ascii="Times New Roman" w:hAnsi="Times New Roman" w:cs="Times New Roman"/>
          <w:sz w:val="24"/>
          <w:szCs w:val="24"/>
          <w:shd w:val="clear" w:color="auto" w:fill="FFFFFF"/>
        </w:rPr>
        <w:t>-to-face check-in with established patients to assess whether the established patient’s condition requires an office visit. The brief communication technology-based service is billable under HCPCS code G2012. The established patient must not have had a rel</w:t>
      </w:r>
      <w:r>
        <w:rPr>
          <w:rFonts w:ascii="Times New Roman" w:hAnsi="Times New Roman" w:cs="Times New Roman"/>
          <w:sz w:val="24"/>
          <w:szCs w:val="24"/>
          <w:shd w:val="clear" w:color="auto" w:fill="FFFFFF"/>
        </w:rPr>
        <w:t>ated E/M service provided within the previous seven days, and the payable services must also not lead to an E/M service or procedure within the next 24 hours.</w:t>
      </w:r>
      <w:r>
        <w:rPr>
          <w:rFonts w:ascii="Times New Roman" w:hAnsi="Times New Roman" w:cs="Times New Roman"/>
          <w:sz w:val="20"/>
          <w:szCs w:val="20"/>
          <w:shd w:val="clear" w:color="auto" w:fill="FFFFFF"/>
          <w:vertAlign w:val="superscript"/>
        </w:rPr>
        <w:endnoteReference w:id="12"/>
      </w:r>
      <w:r>
        <w:rPr>
          <w:rFonts w:ascii="Times New Roman" w:hAnsi="Times New Roman" w:cs="Times New Roman"/>
          <w:sz w:val="24"/>
          <w:szCs w:val="24"/>
          <w:shd w:val="clear" w:color="auto" w:fill="FFFFFF"/>
        </w:rPr>
        <w:t xml:space="preserve"> If the review of the patient-submitted image/video leads to an E/M service within the next 24 ho</w:t>
      </w:r>
      <w:r>
        <w:rPr>
          <w:rFonts w:ascii="Times New Roman" w:hAnsi="Times New Roman" w:cs="Times New Roman"/>
          <w:sz w:val="24"/>
          <w:szCs w:val="24"/>
          <w:shd w:val="clear" w:color="auto" w:fill="FFFFFF"/>
        </w:rPr>
        <w:t>urs, then the event is considered bundled into the pre- or post- visit time of the associated E/M service, and will not be separately billable.</w:t>
      </w:r>
    </w:p>
    <w:p w:rsidR="00297AE8" w:rsidRDefault="006E339C">
      <w:pPr>
        <w:pStyle w:val="BodyText"/>
        <w:jc w:val="both"/>
        <w:rPr>
          <w:rFonts w:cs="Times New Roman"/>
          <w:shd w:val="clear" w:color="auto" w:fill="FFFFFF"/>
        </w:rPr>
      </w:pPr>
      <w:r>
        <w:rPr>
          <w:rFonts w:cs="Times New Roman"/>
          <w:shd w:val="clear" w:color="auto" w:fill="FFFFFF"/>
        </w:rPr>
        <w:t>Notably, CMS will allow both audio-only real-time telephone interactions in addition to synchronous, two-way aud</w:t>
      </w:r>
      <w:r>
        <w:rPr>
          <w:rFonts w:cs="Times New Roman"/>
          <w:shd w:val="clear" w:color="auto" w:fill="FFFFFF"/>
        </w:rPr>
        <w:t xml:space="preserve">io interactions that are enhanced with video or other kids of data transmission. So long as the brief communication service meets the </w:t>
      </w:r>
      <w:proofErr w:type="gramStart"/>
      <w:r>
        <w:rPr>
          <w:rFonts w:cs="Times New Roman"/>
          <w:shd w:val="clear" w:color="auto" w:fill="FFFFFF"/>
        </w:rPr>
        <w:t>aforementioned requirements</w:t>
      </w:r>
      <w:proofErr w:type="gramEnd"/>
      <w:r>
        <w:rPr>
          <w:rFonts w:cs="Times New Roman"/>
          <w:shd w:val="clear" w:color="auto" w:fill="FFFFFF"/>
        </w:rPr>
        <w:t>, there is no frequency limitation as to the number of such services providers may submit in Fi</w:t>
      </w:r>
      <w:r>
        <w:rPr>
          <w:rFonts w:cs="Times New Roman"/>
          <w:shd w:val="clear" w:color="auto" w:fill="FFFFFF"/>
        </w:rPr>
        <w:t>scal Year 2019.</w:t>
      </w:r>
    </w:p>
    <w:p w:rsidR="00297AE8" w:rsidRDefault="006E339C">
      <w:pPr>
        <w:pStyle w:val="BodyText"/>
        <w:jc w:val="both"/>
        <w:rPr>
          <w:rFonts w:cs="Times New Roman"/>
          <w:shd w:val="clear" w:color="auto" w:fill="FFFFFF"/>
        </w:rPr>
      </w:pPr>
      <w:r>
        <w:rPr>
          <w:rFonts w:cs="Times New Roman"/>
          <w:shd w:val="clear" w:color="auto" w:fill="FFFFFF"/>
        </w:rPr>
        <w:t>Despite the request from commenters, CMS declined to expand services beyond the scope of qualified billing professionals to established patients. For example, CMS responded to a request from a commenter requesting that telemedicine services</w:t>
      </w:r>
      <w:r>
        <w:rPr>
          <w:rFonts w:cs="Times New Roman"/>
          <w:shd w:val="clear" w:color="auto" w:fill="FFFFFF"/>
        </w:rPr>
        <w:t xml:space="preserve"> provided by physical therapists be payable. CMS noted in a response that the Agency agrees that similar check-ins provided by clinical staff can be “important aspects of coordinated care,” but noted that such clinical staff </w:t>
      </w:r>
      <w:r>
        <w:rPr>
          <w:rFonts w:cs="Times New Roman"/>
          <w:shd w:val="clear" w:color="auto" w:fill="FFFFFF"/>
        </w:rPr>
        <w:lastRenderedPageBreak/>
        <w:t>services are included in the RV</w:t>
      </w:r>
      <w:r>
        <w:rPr>
          <w:rFonts w:cs="Times New Roman"/>
          <w:shd w:val="clear" w:color="auto" w:fill="FFFFFF"/>
        </w:rPr>
        <w:t>Us for other codes, including those that describe E/M visits, part of several care management services, and procedures with global periods.</w:t>
      </w:r>
    </w:p>
    <w:p w:rsidR="00297AE8" w:rsidRDefault="006E339C">
      <w:pPr>
        <w:pStyle w:val="ListParagraph"/>
        <w:numPr>
          <w:ilvl w:val="0"/>
          <w:numId w:val="2"/>
        </w:numPr>
        <w:jc w:val="both"/>
      </w:pPr>
      <w:r>
        <w:t>CMS Expands Access to Telehealth Services for Medicare Beneficiaries</w:t>
      </w:r>
    </w:p>
    <w:p w:rsidR="00297AE8" w:rsidRDefault="00297AE8">
      <w:pPr>
        <w:pStyle w:val="ListParagraph"/>
        <w:ind w:left="1080"/>
        <w:jc w:val="both"/>
      </w:pP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 xml:space="preserve">The Final Rule is a departure from Medicare’s </w:t>
      </w:r>
      <w:r>
        <w:rPr>
          <w:rFonts w:ascii="Times New Roman" w:hAnsi="Times New Roman" w:cs="Times New Roman"/>
          <w:sz w:val="24"/>
          <w:szCs w:val="24"/>
        </w:rPr>
        <w:t xml:space="preserve">typical </w:t>
      </w:r>
      <w:r>
        <w:rPr>
          <w:rStyle w:val="Hyperlink"/>
          <w:rFonts w:ascii="Times New Roman" w:hAnsi="Times New Roman" w:cs="Times New Roman"/>
          <w:color w:val="auto"/>
          <w:sz w:val="24"/>
          <w:szCs w:val="24"/>
          <w:u w:val="none"/>
        </w:rPr>
        <w:t>restrictions</w:t>
      </w:r>
      <w:r>
        <w:rPr>
          <w:rFonts w:ascii="Times New Roman" w:hAnsi="Times New Roman" w:cs="Times New Roman"/>
          <w:sz w:val="24"/>
          <w:szCs w:val="24"/>
        </w:rPr>
        <w:t xml:space="preserve"> on telehealth services, including (1) restrictions on applicable “originating sites” (i.e., where the patient is located)</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and (2) limits on appropriate telehealth “modalities” (means of delivering the telehealth service).</w:t>
      </w:r>
    </w:p>
    <w:p w:rsidR="00297AE8" w:rsidRDefault="006E339C">
      <w:pPr>
        <w:pStyle w:val="ListParagraph"/>
        <w:numPr>
          <w:ilvl w:val="0"/>
          <w:numId w:val="1"/>
        </w:numPr>
        <w:jc w:val="both"/>
      </w:pPr>
      <w:r>
        <w:rPr>
          <w:i/>
        </w:rPr>
        <w:t>Removing Originating Site Restrictions for Services Delivered Via Telehealth</w:t>
      </w:r>
    </w:p>
    <w:p w:rsidR="00297AE8" w:rsidRDefault="00297AE8">
      <w:pPr>
        <w:pStyle w:val="ListParagraph"/>
        <w:ind w:left="1080"/>
        <w:jc w:val="both"/>
      </w:pPr>
    </w:p>
    <w:p w:rsidR="00297AE8" w:rsidRDefault="006E339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Effective January 1, 2019, CMS plans to add the following locations to its li</w:t>
      </w:r>
      <w:r>
        <w:rPr>
          <w:rFonts w:ascii="Times New Roman" w:hAnsi="Times New Roman" w:cs="Times New Roman"/>
          <w:sz w:val="24"/>
          <w:szCs w:val="24"/>
          <w:shd w:val="clear" w:color="auto" w:fill="FFFFFF"/>
        </w:rPr>
        <w:t>st of originating sites: Medicare beneficiary homes for those receiving home dialysis for end-stage renal disease (“ESRD”), renal dialysis facilities, and mobile stroke units (ambulances equipped to handle acute stroke). This change allows health care prov</w:t>
      </w:r>
      <w:r>
        <w:rPr>
          <w:rFonts w:ascii="Times New Roman" w:hAnsi="Times New Roman" w:cs="Times New Roman"/>
          <w:sz w:val="24"/>
          <w:szCs w:val="24"/>
          <w:shd w:val="clear" w:color="auto" w:fill="FFFFFF"/>
        </w:rPr>
        <w:t>iders to implement telehealth services in locations that had not been previously covered under Medicare,</w:t>
      </w:r>
      <w:r>
        <w:rPr>
          <w:rFonts w:ascii="Times New Roman" w:hAnsi="Times New Roman" w:cs="Times New Roman"/>
          <w:sz w:val="20"/>
          <w:szCs w:val="20"/>
          <w:shd w:val="clear" w:color="auto" w:fill="FFFFFF"/>
          <w:vertAlign w:val="superscript"/>
        </w:rPr>
        <w:endnoteReference w:id="14"/>
      </w:r>
      <w:r>
        <w:rPr>
          <w:rFonts w:ascii="Times New Roman" w:hAnsi="Times New Roman" w:cs="Times New Roman"/>
          <w:sz w:val="24"/>
          <w:szCs w:val="24"/>
          <w:shd w:val="clear" w:color="auto" w:fill="FFFFFF"/>
        </w:rPr>
        <w:t xml:space="preserve"> giving providers the opportunity to both provide care to a wider range of patients and provide patients with greater access to the treatment they need</w:t>
      </w:r>
      <w:r>
        <w:rPr>
          <w:rFonts w:ascii="Times New Roman" w:hAnsi="Times New Roman" w:cs="Times New Roman"/>
          <w:sz w:val="24"/>
          <w:szCs w:val="24"/>
          <w:shd w:val="clear" w:color="auto" w:fill="FFFFFF"/>
        </w:rPr>
        <w:t xml:space="preserve">. </w:t>
      </w:r>
    </w:p>
    <w:p w:rsidR="00297AE8" w:rsidRDefault="006E339C">
      <w:pPr>
        <w:jc w:val="both"/>
        <w:rPr>
          <w:rFonts w:ascii="Times New Roman" w:hAnsi="Times New Roman" w:cs="Times New Roman"/>
          <w:sz w:val="24"/>
          <w:szCs w:val="24"/>
          <w:shd w:val="clear" w:color="auto" w:fill="FFFFFF"/>
        </w:rPr>
      </w:pPr>
      <w:r>
        <w:rPr>
          <w:rFonts w:ascii="Times New Roman" w:hAnsi="Times New Roman" w:cs="Times New Roman"/>
          <w:sz w:val="24"/>
          <w:szCs w:val="24"/>
        </w:rPr>
        <w:t>Similarly, under this Final Rule, health care providers may deliver (and be reimbursed for) services delivered via telehealth to patients with substance use disorders for treating substance use and co-occurring mental health disorders beginning on Janua</w:t>
      </w:r>
      <w:r>
        <w:rPr>
          <w:rFonts w:ascii="Times New Roman" w:hAnsi="Times New Roman" w:cs="Times New Roman"/>
          <w:sz w:val="24"/>
          <w:szCs w:val="24"/>
        </w:rPr>
        <w:t>ry 1, 2019.</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p>
    <w:p w:rsidR="00297AE8" w:rsidRDefault="006E339C">
      <w:pPr>
        <w:jc w:val="both"/>
        <w:rPr>
          <w:rFonts w:ascii="Times New Roman" w:hAnsi="Times New Roman" w:cs="Times New Roman"/>
          <w:sz w:val="24"/>
          <w:szCs w:val="24"/>
          <w:shd w:val="clear" w:color="auto" w:fill="FFFFFF"/>
        </w:rPr>
      </w:pPr>
      <w:r>
        <w:rPr>
          <w:rFonts w:ascii="Times New Roman" w:hAnsi="Times New Roman" w:cs="Times New Roman"/>
          <w:sz w:val="24"/>
          <w:szCs w:val="24"/>
        </w:rPr>
        <w:t>These changes are significant for many stakeholders. Health care providers will soon be paid for delivering a service via telehealth to patients in their home regardless of where that patient’s home is located.  Providers will receive this re</w:t>
      </w:r>
      <w:r>
        <w:rPr>
          <w:rFonts w:ascii="Times New Roman" w:hAnsi="Times New Roman" w:cs="Times New Roman"/>
          <w:sz w:val="24"/>
          <w:szCs w:val="24"/>
        </w:rPr>
        <w:t>imbursement at the same rate as if the service were to be furnished in person. Medicare beneficiaries also benefit in that those with substance use disorders may now access care simply by setting up a telehealth appointment delivered to their home.</w:t>
      </w:r>
    </w:p>
    <w:p w:rsidR="00297AE8" w:rsidRDefault="006E339C">
      <w:pPr>
        <w:pStyle w:val="ListParagraph"/>
        <w:numPr>
          <w:ilvl w:val="0"/>
          <w:numId w:val="1"/>
        </w:numPr>
        <w:spacing w:after="240"/>
        <w:jc w:val="both"/>
      </w:pPr>
      <w:r>
        <w:rPr>
          <w:i/>
        </w:rPr>
        <w:t>Providing Reimbursement for Various Additional Telehealth Services</w:t>
      </w: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Telehealth has traditionally been described as having three “modalities” by which the telehealth service is delivered to patients: via (a) two-way, interactive audio-video (“synchronous” te</w:t>
      </w:r>
      <w:r>
        <w:rPr>
          <w:rFonts w:ascii="Times New Roman" w:hAnsi="Times New Roman" w:cs="Times New Roman"/>
          <w:sz w:val="24"/>
          <w:szCs w:val="24"/>
        </w:rPr>
        <w:t>lehealth); (b) store-and-forward technology;</w:t>
      </w:r>
      <w:r>
        <w:rPr>
          <w:rFonts w:ascii="Times New Roman" w:hAnsi="Times New Roman" w:cs="Times New Roman"/>
          <w:sz w:val="20"/>
          <w:szCs w:val="20"/>
          <w:vertAlign w:val="superscript"/>
        </w:rPr>
        <w:endnoteReference w:id="16"/>
      </w:r>
      <w:r>
        <w:rPr>
          <w:rFonts w:ascii="Times New Roman" w:hAnsi="Times New Roman" w:cs="Times New Roman"/>
          <w:sz w:val="24"/>
          <w:szCs w:val="24"/>
        </w:rPr>
        <w:t xml:space="preserve"> and (c) remote patient monitoring (“RPM”). Medicare previously has reimbursed solely for telehealth services transmitted using an “interactive 2-way telecommunications system (with real-time audio and video).” </w:t>
      </w:r>
      <w:r>
        <w:rPr>
          <w:rFonts w:ascii="Times New Roman" w:hAnsi="Times New Roman" w:cs="Times New Roman"/>
          <w:sz w:val="24"/>
          <w:szCs w:val="24"/>
        </w:rPr>
        <w:t xml:space="preserve"> The Final Rule provides for expanded access to all three modalities. </w:t>
      </w: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In addition to providing reimbursement for synchronous “virtual check-ins,” CMS announced that it is finalizing the addition of prolonged preventive services (HCPCS code G0513 and G0514</w:t>
      </w:r>
      <w:r>
        <w:rPr>
          <w:rFonts w:ascii="Times New Roman" w:hAnsi="Times New Roman" w:cs="Times New Roman"/>
          <w:sz w:val="24"/>
          <w:szCs w:val="24"/>
        </w:rPr>
        <w:t>) to Medicare’s reimbursement for telehealth services list. Met with unanimous support from commenters, these codes signify time spent by health care providers “beyond the typical service time of the primary procedure.” These wellness visits must be furnis</w:t>
      </w:r>
      <w:r>
        <w:rPr>
          <w:rFonts w:ascii="Times New Roman" w:hAnsi="Times New Roman" w:cs="Times New Roman"/>
          <w:sz w:val="24"/>
          <w:szCs w:val="24"/>
        </w:rPr>
        <w:t>hed via telehealth “in the office or other outpatient setting requiring direct patient contact beyond the usual service.” G0513 establishes payment for the first 30 minutes of this preventative care service, while G0514 pays for each additional 30 minutes.</w:t>
      </w: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lastRenderedPageBreak/>
        <w:t>The Final Rule also establishes payment for the “Remote Evaluation of Pre-Recorded Patient Information,” a “store-and-forward”-like service that CMS states is not subject to traditional Medicare telehealth service restrictions because this evaluation is n</w:t>
      </w:r>
      <w:r>
        <w:rPr>
          <w:rFonts w:ascii="Times New Roman" w:hAnsi="Times New Roman" w:cs="Times New Roman"/>
          <w:sz w:val="24"/>
          <w:szCs w:val="24"/>
        </w:rPr>
        <w:t>ot a substitute for an in-person service currently separately payable under the Physician Fee Schedule. This service intends to determine whether follow up office visits or other services would be necessary. Although CMS considered implementing this code b</w:t>
      </w:r>
      <w:r>
        <w:rPr>
          <w:rFonts w:ascii="Times New Roman" w:hAnsi="Times New Roman" w:cs="Times New Roman"/>
          <w:sz w:val="24"/>
          <w:szCs w:val="24"/>
        </w:rPr>
        <w:t xml:space="preserve">oth for new and established patients, the Final Rule only permits payment for HCPCS code G2010 for established patients (those who have had a prior in person or </w:t>
      </w:r>
      <w:proofErr w:type="spellStart"/>
      <w:r>
        <w:rPr>
          <w:rFonts w:ascii="Times New Roman" w:hAnsi="Times New Roman" w:cs="Times New Roman"/>
          <w:sz w:val="24"/>
          <w:szCs w:val="24"/>
        </w:rPr>
        <w:t>telerehab</w:t>
      </w:r>
      <w:proofErr w:type="spellEnd"/>
      <w:r>
        <w:rPr>
          <w:rFonts w:ascii="Times New Roman" w:hAnsi="Times New Roman" w:cs="Times New Roman"/>
          <w:sz w:val="24"/>
          <w:szCs w:val="24"/>
        </w:rPr>
        <w:t xml:space="preserve"> past visit with the qualified provider). Health care providers must also ensure that </w:t>
      </w:r>
      <w:r>
        <w:rPr>
          <w:rFonts w:ascii="Times New Roman" w:hAnsi="Times New Roman" w:cs="Times New Roman"/>
          <w:sz w:val="24"/>
          <w:szCs w:val="24"/>
        </w:rPr>
        <w:t>they provide a timely diagnosis within 24 business hours in order to be eligible for payment under this code. Providers will be happy to know that a diagnosis can be delivered by e-mail, phone call, virtual visit, text message, or through the patient porta</w:t>
      </w:r>
      <w:r>
        <w:rPr>
          <w:rFonts w:ascii="Times New Roman" w:hAnsi="Times New Roman" w:cs="Times New Roman"/>
          <w:sz w:val="24"/>
          <w:szCs w:val="24"/>
        </w:rPr>
        <w:t xml:space="preserve">l. However, like the virtual check-ins,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these services to be payable, they must be stand-alone services separately billed to the extent that there is no resulting E/M office visit and there is no related E/M office visit within the previous se</w:t>
      </w:r>
      <w:r>
        <w:rPr>
          <w:rFonts w:ascii="Times New Roman" w:hAnsi="Times New Roman" w:cs="Times New Roman"/>
          <w:sz w:val="24"/>
          <w:szCs w:val="24"/>
        </w:rPr>
        <w:t>ven days of the remote service being furnished.</w:t>
      </w: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Further recognizing the importance of touch points for patients with chronic conditions, the Final Rule creates three CPT codes for remote patient monitoring telehealth-like services, entitled “Chronic Care R</w:t>
      </w:r>
      <w:r>
        <w:rPr>
          <w:rFonts w:ascii="Times New Roman" w:hAnsi="Times New Roman" w:cs="Times New Roman"/>
          <w:sz w:val="24"/>
          <w:szCs w:val="24"/>
        </w:rPr>
        <w:t>emote Physiologic Monitoring” (CPT Codes 99453, 99454, and 99457). Since these services are “inherently non-face-to-face” (and thus, they do not have an in-person counterpart), CMS determined that RPM services are not considered a Medicare telehealth servi</w:t>
      </w:r>
      <w:r>
        <w:rPr>
          <w:rFonts w:ascii="Times New Roman" w:hAnsi="Times New Roman" w:cs="Times New Roman"/>
          <w:sz w:val="24"/>
          <w:szCs w:val="24"/>
        </w:rPr>
        <w:t>ce and therefore are not restricted under Medicare’s narrow coverage of telehealth services.</w:t>
      </w:r>
      <w:r>
        <w:rPr>
          <w:rFonts w:ascii="Times New Roman" w:hAnsi="Times New Roman" w:cs="Times New Roman"/>
          <w:sz w:val="20"/>
          <w:szCs w:val="20"/>
          <w:vertAlign w:val="superscript"/>
        </w:rPr>
        <w:endnoteReference w:id="17"/>
      </w:r>
      <w:r>
        <w:rPr>
          <w:rFonts w:ascii="Times New Roman" w:hAnsi="Times New Roman" w:cs="Times New Roman"/>
          <w:sz w:val="20"/>
          <w:szCs w:val="20"/>
          <w:vertAlign w:val="superscript"/>
        </w:rPr>
        <w:t xml:space="preserve">  </w:t>
      </w:r>
      <w:r>
        <w:rPr>
          <w:rFonts w:ascii="Times New Roman" w:hAnsi="Times New Roman" w:cs="Times New Roman"/>
          <w:sz w:val="24"/>
          <w:szCs w:val="24"/>
        </w:rPr>
        <w:t xml:space="preserve">CMS did not offer any guidance as to what specific technology qualifies under these codes; however, it does plan to issue guidance in the future “to help inform </w:t>
      </w:r>
      <w:r>
        <w:rPr>
          <w:rFonts w:ascii="Times New Roman" w:hAnsi="Times New Roman" w:cs="Times New Roman"/>
          <w:sz w:val="24"/>
          <w:szCs w:val="24"/>
        </w:rPr>
        <w:t>practitioners and stakeholders on these issues.”</w:t>
      </w:r>
      <w:r>
        <w:rPr>
          <w:rFonts w:ascii="Times New Roman" w:hAnsi="Times New Roman" w:cs="Times New Roman"/>
          <w:sz w:val="20"/>
          <w:szCs w:val="20"/>
          <w:vertAlign w:val="superscript"/>
        </w:rPr>
        <w:endnoteReference w:id="18"/>
      </w:r>
      <w:r>
        <w:rPr>
          <w:rFonts w:ascii="Times New Roman" w:hAnsi="Times New Roman" w:cs="Times New Roman"/>
          <w:sz w:val="20"/>
          <w:szCs w:val="20"/>
          <w:vertAlign w:val="superscript"/>
        </w:rPr>
        <w:t xml:space="preserve">  </w:t>
      </w:r>
      <w:r>
        <w:rPr>
          <w:rFonts w:ascii="Times New Roman" w:hAnsi="Times New Roman" w:cs="Times New Roman"/>
          <w:sz w:val="24"/>
          <w:szCs w:val="24"/>
        </w:rPr>
        <w:t>Notably, CPT code 99457 permits remote patient monitoring services to be delivered by physicians, qualified healthcare professionals, or clinical staff, including registered nurses and medical assistants (</w:t>
      </w:r>
      <w:r>
        <w:rPr>
          <w:rFonts w:ascii="Times New Roman" w:hAnsi="Times New Roman" w:cs="Times New Roman"/>
          <w:sz w:val="24"/>
          <w:szCs w:val="24"/>
        </w:rPr>
        <w:t>depending on state licensing scope).</w:t>
      </w:r>
    </w:p>
    <w:p w:rsidR="00297AE8" w:rsidRDefault="006E339C">
      <w:pPr>
        <w:pStyle w:val="ListParagraph"/>
        <w:numPr>
          <w:ilvl w:val="0"/>
          <w:numId w:val="2"/>
        </w:numPr>
        <w:jc w:val="both"/>
      </w:pPr>
      <w:r>
        <w:t>The Final Rule’s Impact on Providers</w:t>
      </w:r>
    </w:p>
    <w:p w:rsidR="00297AE8" w:rsidRDefault="00297AE8">
      <w:pPr>
        <w:spacing w:after="0" w:line="240" w:lineRule="auto"/>
        <w:jc w:val="both"/>
      </w:pPr>
    </w:p>
    <w:p w:rsidR="00297AE8" w:rsidRDefault="006E3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Final Rule demonstrates CMS’ commitment to enhancing patient access, including the use of technology-based platforms. The use of communication technology-based services will pro</w:t>
      </w:r>
      <w:r>
        <w:rPr>
          <w:rFonts w:ascii="Times New Roman" w:hAnsi="Times New Roman" w:cs="Times New Roman"/>
          <w:sz w:val="24"/>
          <w:szCs w:val="24"/>
        </w:rPr>
        <w:t>vide new options for physicians to treat patients. These services could help to avoid unnecessary office visits, could consist of services that are already occurring but are not being separately paid, or could constitute new services.  The move is anticipa</w:t>
      </w:r>
      <w:r>
        <w:rPr>
          <w:rFonts w:ascii="Times New Roman" w:hAnsi="Times New Roman" w:cs="Times New Roman"/>
          <w:sz w:val="24"/>
          <w:szCs w:val="24"/>
        </w:rPr>
        <w:t>ted to reduce the costs of healthcare and benefit vulnerable patient populations.</w:t>
      </w:r>
    </w:p>
    <w:p w:rsidR="00297AE8" w:rsidRDefault="00297AE8">
      <w:pPr>
        <w:spacing w:after="0" w:line="240" w:lineRule="auto"/>
        <w:jc w:val="both"/>
        <w:rPr>
          <w:rFonts w:ascii="Times New Roman" w:hAnsi="Times New Roman" w:cs="Times New Roman"/>
          <w:sz w:val="24"/>
          <w:szCs w:val="24"/>
        </w:rPr>
      </w:pPr>
    </w:p>
    <w:p w:rsidR="00297AE8" w:rsidRDefault="006E33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CMS noted that providers generally support expansions to Medicare telehealth. Several commenters requested the addition of services to the list of Medicare telehealth servic</w:t>
      </w:r>
      <w:r>
        <w:rPr>
          <w:rFonts w:ascii="Times New Roman" w:hAnsi="Times New Roman" w:cs="Times New Roman"/>
          <w:sz w:val="24"/>
          <w:szCs w:val="24"/>
        </w:rPr>
        <w:t xml:space="preserve">es in specialized areas, including physical therapy </w:t>
      </w:r>
      <w:proofErr w:type="spellStart"/>
      <w:r>
        <w:rPr>
          <w:rFonts w:ascii="Times New Roman" w:hAnsi="Times New Roman" w:cs="Times New Roman"/>
          <w:sz w:val="24"/>
          <w:szCs w:val="24"/>
        </w:rPr>
        <w:t>telerehab</w:t>
      </w:r>
      <w:proofErr w:type="spellEnd"/>
      <w:r>
        <w:rPr>
          <w:rFonts w:ascii="Times New Roman" w:hAnsi="Times New Roman" w:cs="Times New Roman"/>
          <w:sz w:val="24"/>
          <w:szCs w:val="24"/>
        </w:rPr>
        <w:t xml:space="preserve"> services. CMS continues to evaluate the cost effectiveness of expansion of such services and will add services to the list of Medicare Telehealth services as described in the CY 2003 PFS final r</w:t>
      </w:r>
      <w:r>
        <w:rPr>
          <w:rFonts w:ascii="Times New Roman" w:hAnsi="Times New Roman" w:cs="Times New Roman"/>
          <w:sz w:val="24"/>
          <w:szCs w:val="24"/>
        </w:rPr>
        <w:t>ule (67 FR 799888).</w:t>
      </w:r>
    </w:p>
    <w:p w:rsidR="00297AE8" w:rsidRDefault="00297AE8">
      <w:pPr>
        <w:spacing w:after="0" w:line="240" w:lineRule="auto"/>
        <w:ind w:firstLine="720"/>
        <w:jc w:val="both"/>
        <w:rPr>
          <w:rFonts w:ascii="Times New Roman" w:hAnsi="Times New Roman" w:cs="Times New Roman"/>
          <w:sz w:val="24"/>
          <w:szCs w:val="24"/>
        </w:rPr>
      </w:pPr>
    </w:p>
    <w:p w:rsidR="00297AE8" w:rsidRDefault="006E339C">
      <w:pPr>
        <w:spacing w:after="0"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t xml:space="preserve">Kathleen </w:t>
      </w:r>
      <w:proofErr w:type="spellStart"/>
      <w:r>
        <w:rPr>
          <w:rFonts w:ascii="Times New Roman" w:hAnsi="Times New Roman" w:cs="Times New Roman"/>
          <w:b/>
          <w:sz w:val="24"/>
          <w:szCs w:val="24"/>
        </w:rPr>
        <w:t>Premo</w:t>
      </w:r>
      <w:proofErr w:type="spellEnd"/>
      <w:r>
        <w:rPr>
          <w:rFonts w:ascii="Times New Roman" w:hAnsi="Times New Roman" w:cs="Times New Roman"/>
          <w:b/>
          <w:sz w:val="24"/>
          <w:szCs w:val="24"/>
        </w:rPr>
        <w:t xml:space="preserve">, Esq., Elizabeth </w:t>
      </w:r>
      <w:proofErr w:type="spellStart"/>
      <w:r>
        <w:rPr>
          <w:rFonts w:ascii="Times New Roman" w:hAnsi="Times New Roman" w:cs="Times New Roman"/>
          <w:b/>
          <w:sz w:val="24"/>
          <w:szCs w:val="24"/>
        </w:rPr>
        <w:t>Scarola</w:t>
      </w:r>
      <w:proofErr w:type="spellEnd"/>
      <w:r>
        <w:rPr>
          <w:rFonts w:ascii="Times New Roman" w:hAnsi="Times New Roman" w:cs="Times New Roman"/>
          <w:b/>
          <w:sz w:val="24"/>
          <w:szCs w:val="24"/>
        </w:rPr>
        <w:t xml:space="preserve">, Esq., and Matthew </w:t>
      </w:r>
      <w:proofErr w:type="spellStart"/>
      <w:r>
        <w:rPr>
          <w:rFonts w:ascii="Times New Roman" w:hAnsi="Times New Roman" w:cs="Times New Roman"/>
          <w:b/>
          <w:sz w:val="24"/>
          <w:szCs w:val="24"/>
        </w:rPr>
        <w:t>Sprankle</w:t>
      </w:r>
      <w:proofErr w:type="spellEnd"/>
      <w:r>
        <w:rPr>
          <w:rFonts w:ascii="Times New Roman" w:hAnsi="Times New Roman" w:cs="Times New Roman"/>
          <w:b/>
          <w:sz w:val="24"/>
          <w:szCs w:val="24"/>
        </w:rPr>
        <w:t>, Esq., Epstein Becker Green, PC</w:t>
      </w:r>
    </w:p>
    <w:p w:rsidR="00297AE8" w:rsidRDefault="00297AE8">
      <w:pPr>
        <w:spacing w:after="0" w:line="240" w:lineRule="auto"/>
        <w:jc w:val="center"/>
        <w:rPr>
          <w:rFonts w:ascii="Times New Roman" w:eastAsia="SimSun" w:hAnsi="Times New Roman" w:cs="Times New Roman"/>
          <w:b/>
          <w:bCs/>
          <w:iCs/>
          <w:sz w:val="24"/>
          <w:szCs w:val="24"/>
          <w:u w:val="single"/>
        </w:rPr>
      </w:pPr>
    </w:p>
    <w:p w:rsidR="00297AE8" w:rsidRDefault="006E339C">
      <w:pPr>
        <w:pStyle w:val="BodyText"/>
        <w:jc w:val="center"/>
        <w:rPr>
          <w:rFonts w:cs="Times New Roman"/>
          <w:b/>
          <w:u w:val="single"/>
        </w:rPr>
      </w:pPr>
      <w:r>
        <w:rPr>
          <w:rFonts w:cs="Times New Roman"/>
          <w:b/>
          <w:u w:val="single"/>
        </w:rPr>
        <w:lastRenderedPageBreak/>
        <w:t>PRIVACY &amp; SECURITY UPDATES</w:t>
      </w:r>
    </w:p>
    <w:p w:rsidR="00297AE8" w:rsidRDefault="006E339C">
      <w:pPr>
        <w:pStyle w:val="BodyText"/>
        <w:jc w:val="center"/>
        <w:rPr>
          <w:rFonts w:cs="Times New Roman"/>
          <w:b/>
        </w:rPr>
      </w:pPr>
      <w:r>
        <w:rPr>
          <w:rFonts w:cs="Times New Roman"/>
          <w:b/>
        </w:rPr>
        <w:t>Rethinking HIPAA with Regards to Smart Watches and Wearables</w:t>
      </w:r>
    </w:p>
    <w:p w:rsidR="00297AE8" w:rsidRDefault="006E339C">
      <w:pPr>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The newest updates to the </w:t>
      </w:r>
      <w:r>
        <w:rPr>
          <w:rFonts w:ascii="Times New Roman" w:eastAsia="Times New Roman" w:hAnsi="Times New Roman" w:cs="Times New Roman"/>
          <w:sz w:val="24"/>
          <w:szCs w:val="24"/>
        </w:rPr>
        <w:t>Apple Watch Series 4 create more questions surrounding the applicability of the Health Insurance Portability and Accountability Act of 1996 (“HIPAA”) to smart watches and other wearable devices.</w:t>
      </w:r>
      <w:r>
        <w:rPr>
          <w:rFonts w:ascii="Times New Roman" w:eastAsia="Times New Roman" w:hAnsi="Times New Roman" w:cs="Times New Roman"/>
          <w:sz w:val="24"/>
          <w:szCs w:val="24"/>
          <w:vertAlign w:val="superscript"/>
        </w:rPr>
        <w:endnoteReference w:id="19"/>
      </w:r>
      <w:r>
        <w:rPr>
          <w:rFonts w:ascii="Times New Roman" w:eastAsia="Times New Roman" w:hAnsi="Times New Roman" w:cs="Times New Roman"/>
          <w:sz w:val="24"/>
          <w:szCs w:val="24"/>
        </w:rPr>
        <w:t xml:space="preserve">  The Apple Watch Series 4 launched on September 12, 2018 and</w:t>
      </w:r>
      <w:r>
        <w:rPr>
          <w:rFonts w:ascii="Times New Roman" w:eastAsia="Times New Roman" w:hAnsi="Times New Roman" w:cs="Times New Roman"/>
          <w:sz w:val="24"/>
          <w:szCs w:val="24"/>
        </w:rPr>
        <w:t xml:space="preserve"> now features electrocardiogram (“ECG”) capability.</w:t>
      </w:r>
      <w:r>
        <w:rPr>
          <w:rFonts w:ascii="Times New Roman" w:eastAsia="Times New Roman" w:hAnsi="Times New Roman" w:cs="Times New Roman"/>
          <w:sz w:val="24"/>
          <w:szCs w:val="24"/>
          <w:vertAlign w:val="superscript"/>
        </w:rPr>
        <w:endnoteReference w:id="20"/>
      </w:r>
      <w:r>
        <w:rPr>
          <w:rFonts w:ascii="Times New Roman" w:eastAsia="Times New Roman" w:hAnsi="Times New Roman" w:cs="Times New Roman"/>
          <w:sz w:val="24"/>
          <w:szCs w:val="24"/>
        </w:rPr>
        <w:t xml:space="preserve">  Users can run their own ECG and see real-time results on their devices, and includes the ability to forward those results on to their doctors for diagnostic purposes.</w:t>
      </w:r>
      <w:r>
        <w:rPr>
          <w:rFonts w:ascii="Times New Roman" w:eastAsia="Times New Roman" w:hAnsi="Times New Roman" w:cs="Times New Roman"/>
          <w:sz w:val="24"/>
          <w:szCs w:val="24"/>
          <w:vertAlign w:val="superscript"/>
        </w:rPr>
        <w:endnoteReference w:id="21"/>
      </w:r>
      <w:r>
        <w:rPr>
          <w:rFonts w:ascii="Times New Roman" w:eastAsia="Times New Roman" w:hAnsi="Times New Roman" w:cs="Times New Roman"/>
          <w:sz w:val="24"/>
          <w:szCs w:val="24"/>
        </w:rPr>
        <w:t xml:space="preserve">  The Series 4 device also includes</w:t>
      </w:r>
      <w:r>
        <w:rPr>
          <w:rFonts w:ascii="Times New Roman" w:eastAsia="Times New Roman" w:hAnsi="Times New Roman" w:cs="Times New Roman"/>
          <w:sz w:val="24"/>
          <w:szCs w:val="24"/>
        </w:rPr>
        <w:t xml:space="preserve"> upgrades to the heart rate monitor to give it the capability to detect irregular heartbeats such as atrial fibrillation (“</w:t>
      </w:r>
      <w:proofErr w:type="spellStart"/>
      <w:r>
        <w:rPr>
          <w:rFonts w:ascii="Times New Roman" w:eastAsia="Times New Roman" w:hAnsi="Times New Roman" w:cs="Times New Roman"/>
          <w:sz w:val="24"/>
          <w:szCs w:val="24"/>
        </w:rPr>
        <w:t>AFib</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22"/>
      </w:r>
      <w:r>
        <w:rPr>
          <w:rFonts w:ascii="Times New Roman" w:eastAsia="Times New Roman" w:hAnsi="Times New Roman" w:cs="Times New Roman"/>
          <w:sz w:val="24"/>
          <w:szCs w:val="24"/>
        </w:rPr>
        <w:t xml:space="preserve"> </w:t>
      </w:r>
    </w:p>
    <w:p w:rsidR="00297AE8" w:rsidRDefault="006E3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growing trend among consumers to want to be more hands-on with their health data, so current and potential users</w:t>
      </w:r>
      <w:r>
        <w:rPr>
          <w:rFonts w:ascii="Times New Roman" w:eastAsia="Times New Roman" w:hAnsi="Times New Roman" w:cs="Times New Roman"/>
          <w:sz w:val="24"/>
          <w:szCs w:val="24"/>
        </w:rPr>
        <w:t xml:space="preserve"> of the Apple Watch are unsurprisingly excited about the new features.</w:t>
      </w:r>
      <w:r>
        <w:rPr>
          <w:rFonts w:ascii="Times New Roman" w:eastAsia="Times New Roman" w:hAnsi="Times New Roman" w:cs="Times New Roman"/>
          <w:sz w:val="24"/>
          <w:szCs w:val="24"/>
          <w:vertAlign w:val="superscript"/>
        </w:rPr>
        <w:endnoteReference w:id="23"/>
      </w:r>
      <w:r>
        <w:rPr>
          <w:rFonts w:ascii="Times New Roman" w:eastAsia="Times New Roman" w:hAnsi="Times New Roman" w:cs="Times New Roman"/>
          <w:sz w:val="24"/>
          <w:szCs w:val="24"/>
        </w:rPr>
        <w:t xml:space="preserve"> However, these new features raise questions among health care lawyers, as well as the application (or “app”) developers, as to whether these devices and the user data contained on the </w:t>
      </w:r>
      <w:r>
        <w:rPr>
          <w:rFonts w:ascii="Times New Roman" w:eastAsia="Times New Roman" w:hAnsi="Times New Roman" w:cs="Times New Roman"/>
          <w:sz w:val="24"/>
          <w:szCs w:val="24"/>
        </w:rPr>
        <w:t>devices should be regulated by HIPAA.</w:t>
      </w:r>
      <w:r>
        <w:rPr>
          <w:rFonts w:ascii="Times New Roman" w:eastAsia="Times New Roman" w:hAnsi="Times New Roman" w:cs="Times New Roman"/>
          <w:sz w:val="24"/>
          <w:szCs w:val="24"/>
          <w:vertAlign w:val="superscript"/>
        </w:rPr>
        <w:endnoteReference w:id="24"/>
      </w:r>
      <w:r>
        <w:rPr>
          <w:rFonts w:ascii="Times New Roman" w:eastAsia="Times New Roman" w:hAnsi="Times New Roman" w:cs="Times New Roman"/>
          <w:sz w:val="24"/>
          <w:szCs w:val="24"/>
        </w:rPr>
        <w:t xml:space="preserve">  HIPAA is designed to regulate and secure protected health information (“PHI”).</w:t>
      </w:r>
      <w:r>
        <w:rPr>
          <w:rFonts w:ascii="Times New Roman" w:eastAsia="Times New Roman" w:hAnsi="Times New Roman" w:cs="Times New Roman"/>
          <w:sz w:val="24"/>
          <w:szCs w:val="24"/>
          <w:vertAlign w:val="superscript"/>
        </w:rPr>
        <w:endnoteReference w:id="25"/>
      </w:r>
      <w:r>
        <w:rPr>
          <w:rFonts w:ascii="Times New Roman" w:eastAsia="Times New Roman" w:hAnsi="Times New Roman" w:cs="Times New Roman"/>
          <w:sz w:val="24"/>
          <w:szCs w:val="24"/>
        </w:rPr>
        <w:t xml:space="preserve"> HIPAA protection currently applies to “covered entities,” defined as health plans, health care clearinghouses, and most health care prov</w:t>
      </w:r>
      <w:r>
        <w:rPr>
          <w:rFonts w:ascii="Times New Roman" w:eastAsia="Times New Roman" w:hAnsi="Times New Roman" w:cs="Times New Roman"/>
          <w:sz w:val="24"/>
          <w:szCs w:val="24"/>
        </w:rPr>
        <w:t>iders, as well as their business associates.</w:t>
      </w:r>
      <w:r>
        <w:rPr>
          <w:rFonts w:ascii="Times New Roman" w:eastAsia="Times New Roman" w:hAnsi="Times New Roman" w:cs="Times New Roman"/>
          <w:sz w:val="24"/>
          <w:szCs w:val="24"/>
          <w:vertAlign w:val="superscript"/>
        </w:rPr>
        <w:endnoteReference w:id="26"/>
      </w:r>
      <w:r>
        <w:rPr>
          <w:rFonts w:ascii="Times New Roman" w:eastAsia="Times New Roman" w:hAnsi="Times New Roman" w:cs="Times New Roman"/>
          <w:sz w:val="24"/>
          <w:szCs w:val="24"/>
        </w:rPr>
        <w:t xml:space="preserve">  HIPAA does not regulate data that is produced by and under the control of the consumer.</w:t>
      </w:r>
      <w:r>
        <w:rPr>
          <w:rFonts w:ascii="Times New Roman" w:eastAsia="Times New Roman" w:hAnsi="Times New Roman" w:cs="Times New Roman"/>
          <w:sz w:val="24"/>
          <w:szCs w:val="24"/>
          <w:vertAlign w:val="superscript"/>
        </w:rPr>
        <w:endnoteReference w:id="27"/>
      </w:r>
      <w:r>
        <w:rPr>
          <w:rFonts w:ascii="Times New Roman" w:eastAsia="Times New Roman" w:hAnsi="Times New Roman" w:cs="Times New Roman"/>
          <w:sz w:val="24"/>
          <w:szCs w:val="24"/>
        </w:rPr>
        <w:t xml:space="preserve">  This distinction further blurs the line of HIPAA applicability for smart watches and wearables when app developers are </w:t>
      </w:r>
      <w:r>
        <w:rPr>
          <w:rFonts w:ascii="Times New Roman" w:eastAsia="Times New Roman" w:hAnsi="Times New Roman" w:cs="Times New Roman"/>
          <w:sz w:val="24"/>
          <w:szCs w:val="24"/>
        </w:rPr>
        <w:t xml:space="preserve">included. </w:t>
      </w:r>
    </w:p>
    <w:p w:rsidR="00297AE8" w:rsidRDefault="006E3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smart watch data is created by and in the possession of the consumer, HIPAA protection is not applicable to that data.</w:t>
      </w:r>
      <w:r>
        <w:rPr>
          <w:rFonts w:ascii="Times New Roman" w:eastAsia="Times New Roman" w:hAnsi="Times New Roman" w:cs="Times New Roman"/>
          <w:sz w:val="24"/>
          <w:szCs w:val="24"/>
          <w:vertAlign w:val="superscript"/>
        </w:rPr>
        <w:endnoteReference w:id="28"/>
      </w:r>
      <w:r>
        <w:rPr>
          <w:rFonts w:ascii="Times New Roman" w:eastAsia="Times New Roman" w:hAnsi="Times New Roman" w:cs="Times New Roman"/>
          <w:sz w:val="24"/>
          <w:szCs w:val="24"/>
        </w:rPr>
        <w:t xml:space="preserve">  However, once an Apple Watch user sends the data, such as ECG results, </w:t>
      </w:r>
      <w:proofErr w:type="spellStart"/>
      <w:r>
        <w:rPr>
          <w:rFonts w:ascii="Times New Roman" w:eastAsia="Times New Roman" w:hAnsi="Times New Roman" w:cs="Times New Roman"/>
          <w:sz w:val="24"/>
          <w:szCs w:val="24"/>
        </w:rPr>
        <w:t>AFib</w:t>
      </w:r>
      <w:proofErr w:type="spellEnd"/>
      <w:r>
        <w:rPr>
          <w:rFonts w:ascii="Times New Roman" w:eastAsia="Times New Roman" w:hAnsi="Times New Roman" w:cs="Times New Roman"/>
          <w:sz w:val="24"/>
          <w:szCs w:val="24"/>
        </w:rPr>
        <w:t xml:space="preserve"> notifications, heart rate monitoring da</w:t>
      </w:r>
      <w:r>
        <w:rPr>
          <w:rFonts w:ascii="Times New Roman" w:eastAsia="Times New Roman" w:hAnsi="Times New Roman" w:cs="Times New Roman"/>
          <w:sz w:val="24"/>
          <w:szCs w:val="24"/>
        </w:rPr>
        <w:t>ta, or other personal health data to their doctor, the data becomes PHI subject to HIPAA.</w:t>
      </w:r>
      <w:r>
        <w:rPr>
          <w:rFonts w:ascii="Times New Roman" w:eastAsia="Times New Roman" w:hAnsi="Times New Roman" w:cs="Times New Roman"/>
          <w:sz w:val="24"/>
          <w:szCs w:val="24"/>
          <w:vertAlign w:val="superscript"/>
        </w:rPr>
        <w:endnoteReference w:id="29"/>
      </w:r>
      <w:r>
        <w:rPr>
          <w:rFonts w:ascii="Times New Roman" w:eastAsia="Times New Roman" w:hAnsi="Times New Roman" w:cs="Times New Roman"/>
          <w:sz w:val="24"/>
          <w:szCs w:val="24"/>
        </w:rPr>
        <w:t xml:space="preserve"> As health data becomes more important to everyday consumers and technology continues to evolve with the health care industry, more health plans and providers are uti</w:t>
      </w:r>
      <w:r>
        <w:rPr>
          <w:rFonts w:ascii="Times New Roman" w:eastAsia="Times New Roman" w:hAnsi="Times New Roman" w:cs="Times New Roman"/>
          <w:sz w:val="24"/>
          <w:szCs w:val="24"/>
        </w:rPr>
        <w:t>lizing apps to help better serve their members.  For example, the Mayo Clinic has a “Mayo Clinic App” that allows members to sync their Apple Health app with the Mayo Clinic app and access the Mayo Clinic app on their Apple Watches.</w:t>
      </w:r>
      <w:r>
        <w:rPr>
          <w:rFonts w:ascii="Times New Roman" w:eastAsia="Times New Roman" w:hAnsi="Times New Roman" w:cs="Times New Roman"/>
          <w:sz w:val="24"/>
          <w:szCs w:val="24"/>
          <w:vertAlign w:val="superscript"/>
        </w:rPr>
        <w:endnoteReference w:id="30"/>
      </w:r>
      <w:r>
        <w:rPr>
          <w:rFonts w:ascii="Times New Roman" w:eastAsia="Times New Roman" w:hAnsi="Times New Roman" w:cs="Times New Roman"/>
          <w:sz w:val="24"/>
          <w:szCs w:val="24"/>
        </w:rPr>
        <w:t xml:space="preserve">  App developers have t</w:t>
      </w:r>
      <w:r>
        <w:rPr>
          <w:rFonts w:ascii="Times New Roman" w:eastAsia="Times New Roman" w:hAnsi="Times New Roman" w:cs="Times New Roman"/>
          <w:sz w:val="24"/>
          <w:szCs w:val="24"/>
        </w:rPr>
        <w:t>o keep HIPAA regulations in mind depending on for whom they are developing their apps.</w:t>
      </w:r>
      <w:r>
        <w:rPr>
          <w:rFonts w:ascii="Times New Roman" w:eastAsia="Times New Roman" w:hAnsi="Times New Roman" w:cs="Times New Roman"/>
          <w:sz w:val="24"/>
          <w:szCs w:val="24"/>
          <w:vertAlign w:val="superscript"/>
        </w:rPr>
        <w:endnoteReference w:id="31"/>
      </w:r>
      <w:r>
        <w:rPr>
          <w:rFonts w:ascii="Times New Roman" w:eastAsia="Times New Roman" w:hAnsi="Times New Roman" w:cs="Times New Roman"/>
          <w:sz w:val="24"/>
          <w:szCs w:val="24"/>
        </w:rPr>
        <w:t xml:space="preserve"> Developers who are “creating, receiving, maintaining, or transmitting PHI on behalf of a covered entity or another business associate” are regulated by HIPAA.</w:t>
      </w:r>
      <w:r>
        <w:rPr>
          <w:rFonts w:ascii="Times New Roman" w:eastAsia="Times New Roman" w:hAnsi="Times New Roman" w:cs="Times New Roman"/>
          <w:sz w:val="24"/>
          <w:szCs w:val="24"/>
          <w:vertAlign w:val="superscript"/>
        </w:rPr>
        <w:endnoteReference w:id="32"/>
      </w:r>
      <w:r>
        <w:rPr>
          <w:rFonts w:ascii="Times New Roman" w:eastAsia="Times New Roman" w:hAnsi="Times New Roman" w:cs="Times New Roman"/>
          <w:sz w:val="24"/>
          <w:szCs w:val="24"/>
        </w:rPr>
        <w:t xml:space="preserve"> If a hea</w:t>
      </w:r>
      <w:r>
        <w:rPr>
          <w:rFonts w:ascii="Times New Roman" w:eastAsia="Times New Roman" w:hAnsi="Times New Roman" w:cs="Times New Roman"/>
          <w:sz w:val="24"/>
          <w:szCs w:val="24"/>
        </w:rPr>
        <w:t>lth plan or health provider asks a developer to create an app whereby users can upload their Apple Watch data and send it directly to their doctors, the app would need to be HIPAA compliant.</w:t>
      </w:r>
      <w:r>
        <w:rPr>
          <w:rFonts w:ascii="Times New Roman" w:eastAsia="Times New Roman" w:hAnsi="Times New Roman" w:cs="Times New Roman"/>
          <w:sz w:val="24"/>
          <w:szCs w:val="24"/>
          <w:vertAlign w:val="superscript"/>
        </w:rPr>
        <w:endnoteReference w:id="33"/>
      </w:r>
      <w:r>
        <w:rPr>
          <w:rFonts w:ascii="Times New Roman" w:eastAsia="Times New Roman" w:hAnsi="Times New Roman" w:cs="Times New Roman"/>
          <w:sz w:val="24"/>
          <w:szCs w:val="24"/>
        </w:rPr>
        <w:t xml:space="preserve"> However, if the users are uploading their personal data and they</w:t>
      </w:r>
      <w:r>
        <w:rPr>
          <w:rFonts w:ascii="Times New Roman" w:eastAsia="Times New Roman" w:hAnsi="Times New Roman" w:cs="Times New Roman"/>
          <w:sz w:val="24"/>
          <w:szCs w:val="24"/>
        </w:rPr>
        <w:t xml:space="preserve"> are the only ones who can access the data, HIPAA is not applicable.</w:t>
      </w:r>
      <w:r>
        <w:rPr>
          <w:rFonts w:ascii="Times New Roman" w:eastAsia="Times New Roman" w:hAnsi="Times New Roman" w:cs="Times New Roman"/>
          <w:sz w:val="24"/>
          <w:szCs w:val="24"/>
          <w:vertAlign w:val="superscript"/>
        </w:rPr>
        <w:endnoteReference w:id="34"/>
      </w:r>
      <w:r>
        <w:rPr>
          <w:rFonts w:ascii="Times New Roman" w:eastAsia="Times New Roman" w:hAnsi="Times New Roman" w:cs="Times New Roman"/>
          <w:sz w:val="24"/>
          <w:szCs w:val="24"/>
        </w:rPr>
        <w:t xml:space="preserve"> </w:t>
      </w:r>
    </w:p>
    <w:p w:rsidR="00297AE8" w:rsidRDefault="006E33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consumers probably do not think about HIPAA implications on a day-to-day basis, if at all. In addition to the security and privacy concerns related to having more devices on a netw</w:t>
      </w:r>
      <w:r>
        <w:rPr>
          <w:rFonts w:ascii="Times New Roman" w:eastAsia="Times New Roman" w:hAnsi="Times New Roman" w:cs="Times New Roman"/>
          <w:sz w:val="24"/>
          <w:szCs w:val="24"/>
        </w:rPr>
        <w:t>ork, many consumers are likely not considering the risk of whether their data is protected by HIPAA when they log it into an app or use their wearable devices.</w:t>
      </w:r>
      <w:r>
        <w:rPr>
          <w:rFonts w:ascii="Times New Roman" w:eastAsia="Times New Roman" w:hAnsi="Times New Roman" w:cs="Times New Roman"/>
          <w:sz w:val="24"/>
          <w:szCs w:val="24"/>
          <w:vertAlign w:val="superscript"/>
        </w:rPr>
        <w:endnoteReference w:id="35"/>
      </w:r>
      <w:r>
        <w:rPr>
          <w:rFonts w:ascii="Times New Roman" w:eastAsia="Times New Roman" w:hAnsi="Times New Roman" w:cs="Times New Roman"/>
          <w:sz w:val="24"/>
          <w:szCs w:val="24"/>
        </w:rPr>
        <w:t xml:space="preserve"> In looking toward the future, it may mean changes to HIPAA to further include the new smart watch and wearables market within the reach </w:t>
      </w:r>
      <w:r>
        <w:rPr>
          <w:rFonts w:ascii="Times New Roman" w:eastAsia="Times New Roman" w:hAnsi="Times New Roman" w:cs="Times New Roman"/>
          <w:sz w:val="24"/>
          <w:szCs w:val="24"/>
        </w:rPr>
        <w:lastRenderedPageBreak/>
        <w:t xml:space="preserve">of HIPAA so that consumers are better protected with the advancements of portable health technology. </w:t>
      </w:r>
    </w:p>
    <w:p w:rsidR="00297AE8" w:rsidRDefault="006E33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w:t>
      </w:r>
      <w:r>
        <w:rPr>
          <w:rFonts w:ascii="Times New Roman" w:eastAsia="Times New Roman" w:hAnsi="Times New Roman" w:cs="Times New Roman"/>
          <w:b/>
          <w:sz w:val="24"/>
          <w:szCs w:val="24"/>
        </w:rPr>
        <w:tab/>
        <w:t>Kel</w:t>
      </w:r>
      <w:r>
        <w:rPr>
          <w:rFonts w:ascii="Times New Roman" w:eastAsia="Times New Roman" w:hAnsi="Times New Roman" w:cs="Times New Roman"/>
          <w:b/>
          <w:sz w:val="24"/>
          <w:szCs w:val="24"/>
        </w:rPr>
        <w:t>li Keeler, Esq., Staff Counsel, Availity, LLC</w:t>
      </w:r>
    </w:p>
    <w:p w:rsidR="00297AE8" w:rsidRDefault="00297AE8">
      <w:pPr>
        <w:spacing w:after="0"/>
        <w:jc w:val="center"/>
        <w:rPr>
          <w:rFonts w:ascii="Times New Roman" w:hAnsi="Times New Roman" w:cs="Times New Roman"/>
          <w:b/>
          <w:sz w:val="24"/>
          <w:szCs w:val="24"/>
          <w:u w:val="single"/>
        </w:rPr>
      </w:pPr>
    </w:p>
    <w:p w:rsidR="00297AE8" w:rsidRDefault="006E339C">
      <w:pPr>
        <w:pStyle w:val="BodyText"/>
        <w:jc w:val="center"/>
        <w:rPr>
          <w:rFonts w:cs="Times New Roman"/>
          <w:b/>
          <w:u w:val="single"/>
        </w:rPr>
      </w:pPr>
      <w:r>
        <w:rPr>
          <w:rFonts w:cs="Times New Roman"/>
          <w:b/>
          <w:u w:val="single"/>
        </w:rPr>
        <w:t>TRANSACTIONS UPDATES</w:t>
      </w:r>
    </w:p>
    <w:p w:rsidR="00297AE8" w:rsidRDefault="006E339C">
      <w:pPr>
        <w:pStyle w:val="BodyText"/>
        <w:jc w:val="center"/>
        <w:rPr>
          <w:rFonts w:cs="Times New Roman"/>
          <w:b/>
        </w:rPr>
      </w:pPr>
      <w:r>
        <w:rPr>
          <w:rFonts w:cs="Times New Roman"/>
          <w:b/>
        </w:rPr>
        <w:t>Making Strides in EHR Interoperability</w:t>
      </w:r>
    </w:p>
    <w:p w:rsidR="00297AE8" w:rsidRDefault="006E339C">
      <w:pPr>
        <w:jc w:val="both"/>
        <w:rPr>
          <w:rFonts w:ascii="Times New Roman" w:hAnsi="Times New Roman" w:cs="Times New Roman"/>
          <w:sz w:val="24"/>
          <w:szCs w:val="24"/>
        </w:rPr>
      </w:pPr>
      <w:proofErr w:type="spellStart"/>
      <w:r>
        <w:rPr>
          <w:rFonts w:ascii="Times New Roman" w:hAnsi="Times New Roman" w:cs="Times New Roman"/>
          <w:sz w:val="24"/>
          <w:szCs w:val="24"/>
        </w:rPr>
        <w:t>CommonWell</w:t>
      </w:r>
      <w:proofErr w:type="spellEnd"/>
      <w:r>
        <w:rPr>
          <w:rFonts w:ascii="Times New Roman" w:hAnsi="Times New Roman" w:cs="Times New Roman"/>
          <w:sz w:val="24"/>
          <w:szCs w:val="24"/>
        </w:rPr>
        <w:t xml:space="preserve"> Health Alliance (“</w:t>
      </w:r>
      <w:proofErr w:type="spellStart"/>
      <w:r>
        <w:rPr>
          <w:rFonts w:ascii="Times New Roman" w:hAnsi="Times New Roman" w:cs="Times New Roman"/>
          <w:sz w:val="24"/>
          <w:szCs w:val="24"/>
        </w:rPr>
        <w:t>CommonWell</w:t>
      </w:r>
      <w:proofErr w:type="spellEnd"/>
      <w:r>
        <w:rPr>
          <w:rFonts w:ascii="Times New Roman" w:hAnsi="Times New Roman" w:cs="Times New Roman"/>
          <w:sz w:val="24"/>
          <w:szCs w:val="24"/>
        </w:rPr>
        <w:t xml:space="preserve">”), a not-for-profit trade association dedicated to achieving cross-vendor electronic health record (“EHR”) interoperability, announced in November that a connection to the </w:t>
      </w:r>
      <w:proofErr w:type="spellStart"/>
      <w:r>
        <w:rPr>
          <w:rFonts w:ascii="Times New Roman" w:hAnsi="Times New Roman" w:cs="Times New Roman"/>
          <w:sz w:val="24"/>
          <w:szCs w:val="24"/>
        </w:rPr>
        <w:t>Carequality</w:t>
      </w:r>
      <w:proofErr w:type="spellEnd"/>
      <w:r>
        <w:rPr>
          <w:rFonts w:ascii="Times New Roman" w:hAnsi="Times New Roman" w:cs="Times New Roman"/>
          <w:sz w:val="24"/>
          <w:szCs w:val="24"/>
        </w:rPr>
        <w:t xml:space="preserve"> framework, a provider network of</w:t>
      </w:r>
      <w:r>
        <w:rPr>
          <w:rFonts w:ascii="Times New Roman" w:hAnsi="Times New Roman" w:cs="Times New Roman"/>
          <w:sz w:val="24"/>
          <w:szCs w:val="24"/>
        </w:rPr>
        <w:t xml:space="preserve"> more than half of all providers nationwide, is now generally available to all </w:t>
      </w:r>
      <w:proofErr w:type="spellStart"/>
      <w:r>
        <w:rPr>
          <w:rFonts w:ascii="Times New Roman" w:hAnsi="Times New Roman" w:cs="Times New Roman"/>
          <w:sz w:val="24"/>
          <w:szCs w:val="24"/>
        </w:rPr>
        <w:t>CommonWell</w:t>
      </w:r>
      <w:proofErr w:type="spellEnd"/>
      <w:r>
        <w:rPr>
          <w:rFonts w:ascii="Times New Roman" w:hAnsi="Times New Roman" w:cs="Times New Roman"/>
          <w:sz w:val="24"/>
          <w:szCs w:val="24"/>
        </w:rPr>
        <w:t xml:space="preserve"> members. This initiative is part of an effort to improve EHR interoperability nationwide to allow providers to access health data regardless of where care was rendere</w:t>
      </w:r>
      <w:r>
        <w:rPr>
          <w:rFonts w:ascii="Times New Roman" w:hAnsi="Times New Roman" w:cs="Times New Roman"/>
          <w:sz w:val="24"/>
          <w:szCs w:val="24"/>
        </w:rPr>
        <w:t xml:space="preserve">d and what vendor the provider uses for its EHR solution.  </w:t>
      </w:r>
      <w:proofErr w:type="spellStart"/>
      <w:r>
        <w:rPr>
          <w:rFonts w:ascii="Times New Roman" w:hAnsi="Times New Roman" w:cs="Times New Roman"/>
          <w:sz w:val="24"/>
          <w:szCs w:val="24"/>
        </w:rPr>
        <w:t>CommonWell</w:t>
      </w:r>
      <w:proofErr w:type="spellEnd"/>
      <w:r>
        <w:rPr>
          <w:rFonts w:ascii="Times New Roman" w:hAnsi="Times New Roman" w:cs="Times New Roman"/>
          <w:sz w:val="24"/>
          <w:szCs w:val="24"/>
        </w:rPr>
        <w:t xml:space="preserve"> works with healthcare providers and EHR vendor members to implement a vendor-neutral platform that breaks down the technological and process barriers that currently inhibit effective hea</w:t>
      </w:r>
      <w:r>
        <w:rPr>
          <w:rFonts w:ascii="Times New Roman" w:hAnsi="Times New Roman" w:cs="Times New Roman"/>
          <w:sz w:val="24"/>
          <w:szCs w:val="24"/>
        </w:rPr>
        <w:t xml:space="preserve">lth data exchange. </w:t>
      </w:r>
      <w:proofErr w:type="spellStart"/>
      <w:r>
        <w:rPr>
          <w:rFonts w:ascii="Times New Roman" w:hAnsi="Times New Roman" w:cs="Times New Roman"/>
          <w:sz w:val="24"/>
          <w:szCs w:val="24"/>
        </w:rPr>
        <w:t>Carequality</w:t>
      </w:r>
      <w:proofErr w:type="spellEnd"/>
      <w:r>
        <w:rPr>
          <w:rFonts w:ascii="Times New Roman" w:hAnsi="Times New Roman" w:cs="Times New Roman"/>
          <w:sz w:val="24"/>
          <w:szCs w:val="24"/>
        </w:rPr>
        <w:t xml:space="preserve"> is designed to allow providers, hospitals, and health systems using </w:t>
      </w:r>
      <w:proofErr w:type="spellStart"/>
      <w:r>
        <w:rPr>
          <w:rFonts w:ascii="Times New Roman" w:hAnsi="Times New Roman" w:cs="Times New Roman"/>
          <w:sz w:val="24"/>
          <w:szCs w:val="24"/>
        </w:rPr>
        <w:t>CommonWell</w:t>
      </w:r>
      <w:proofErr w:type="spellEnd"/>
      <w:r>
        <w:rPr>
          <w:rFonts w:ascii="Times New Roman" w:hAnsi="Times New Roman" w:cs="Times New Roman"/>
          <w:sz w:val="24"/>
          <w:szCs w:val="24"/>
        </w:rPr>
        <w:t xml:space="preserve"> member companies’ EHR solutions to exchange patient data across EHR platforms.  </w:t>
      </w: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 xml:space="preserve">Change Healthcare built the infrastructure for the </w:t>
      </w:r>
      <w:proofErr w:type="spellStart"/>
      <w:r>
        <w:rPr>
          <w:rFonts w:ascii="Times New Roman" w:hAnsi="Times New Roman" w:cs="Times New Roman"/>
          <w:sz w:val="24"/>
          <w:szCs w:val="24"/>
        </w:rPr>
        <w:t>Carequality</w:t>
      </w:r>
      <w:proofErr w:type="spellEnd"/>
      <w:r>
        <w:rPr>
          <w:rFonts w:ascii="Times New Roman" w:hAnsi="Times New Roman" w:cs="Times New Roman"/>
          <w:sz w:val="24"/>
          <w:szCs w:val="24"/>
        </w:rPr>
        <w:t xml:space="preserve"> pl</w:t>
      </w:r>
      <w:r>
        <w:rPr>
          <w:rFonts w:ascii="Times New Roman" w:hAnsi="Times New Roman" w:cs="Times New Roman"/>
          <w:sz w:val="24"/>
          <w:szCs w:val="24"/>
        </w:rPr>
        <w:t xml:space="preserve">atform, and EHR vendors Cerner and Greenway Health used it to roll out a connectivity pilot this past summer.  Through </w:t>
      </w:r>
      <w:proofErr w:type="spellStart"/>
      <w:r>
        <w:rPr>
          <w:rFonts w:ascii="Times New Roman" w:hAnsi="Times New Roman" w:cs="Times New Roman"/>
          <w:sz w:val="24"/>
          <w:szCs w:val="24"/>
        </w:rPr>
        <w:t>Carequality</w:t>
      </w:r>
      <w:proofErr w:type="spellEnd"/>
      <w:r>
        <w:rPr>
          <w:rFonts w:ascii="Times New Roman" w:hAnsi="Times New Roman" w:cs="Times New Roman"/>
          <w:sz w:val="24"/>
          <w:szCs w:val="24"/>
        </w:rPr>
        <w:t xml:space="preserve">, Cerner and Greenway Health customers have been exchanging data with other </w:t>
      </w:r>
      <w:proofErr w:type="spellStart"/>
      <w:r>
        <w:rPr>
          <w:rFonts w:ascii="Times New Roman" w:hAnsi="Times New Roman" w:cs="Times New Roman"/>
          <w:sz w:val="24"/>
          <w:szCs w:val="24"/>
        </w:rPr>
        <w:t>Carequality</w:t>
      </w:r>
      <w:proofErr w:type="spellEnd"/>
      <w:r>
        <w:rPr>
          <w:rFonts w:ascii="Times New Roman" w:hAnsi="Times New Roman" w:cs="Times New Roman"/>
          <w:sz w:val="24"/>
          <w:szCs w:val="24"/>
        </w:rPr>
        <w:t xml:space="preserve">-enabled providers. Since the summer, </w:t>
      </w:r>
      <w:proofErr w:type="spellStart"/>
      <w:r>
        <w:rPr>
          <w:rFonts w:ascii="Times New Roman" w:hAnsi="Times New Roman" w:cs="Times New Roman"/>
          <w:sz w:val="24"/>
          <w:szCs w:val="24"/>
        </w:rPr>
        <w:t>C</w:t>
      </w:r>
      <w:r>
        <w:rPr>
          <w:rFonts w:ascii="Times New Roman" w:hAnsi="Times New Roman" w:cs="Times New Roman"/>
          <w:sz w:val="24"/>
          <w:szCs w:val="24"/>
        </w:rPr>
        <w:t>arequality</w:t>
      </w:r>
      <w:proofErr w:type="spellEnd"/>
      <w:r>
        <w:rPr>
          <w:rFonts w:ascii="Times New Roman" w:hAnsi="Times New Roman" w:cs="Times New Roman"/>
          <w:sz w:val="24"/>
          <w:szCs w:val="24"/>
        </w:rPr>
        <w:t>-enabled providers across the country have exchanged more than 200,000 documents.</w:t>
      </w: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This improved interoperability has significant benefits to participating providers, hospitals, and patients. Through this connection, physician practices can direct</w:t>
      </w:r>
      <w:r>
        <w:rPr>
          <w:rFonts w:ascii="Times New Roman" w:hAnsi="Times New Roman" w:cs="Times New Roman"/>
          <w:sz w:val="24"/>
          <w:szCs w:val="24"/>
        </w:rPr>
        <w:t>ly access patient records from tertiary care centers. If a patient is hospitalized or sees another provider, the patient’s information can be shared seamlessly even if the providers or facilities are on different EHR platforms.  Improved interoperability i</w:t>
      </w:r>
      <w:r>
        <w:rPr>
          <w:rFonts w:ascii="Times New Roman" w:hAnsi="Times New Roman" w:cs="Times New Roman"/>
          <w:sz w:val="24"/>
          <w:szCs w:val="24"/>
        </w:rPr>
        <w:t>ncreases efficiency in healthcare practices and improves quality of care and patient experience. Patients with chronic illnesses or conditions have an increased likelihood of seeing multiple providers on an ongoing basis, and their outcomes can be improved</w:t>
      </w:r>
      <w:r>
        <w:rPr>
          <w:rFonts w:ascii="Times New Roman" w:hAnsi="Times New Roman" w:cs="Times New Roman"/>
          <w:sz w:val="24"/>
          <w:szCs w:val="24"/>
        </w:rPr>
        <w:t xml:space="preserve"> tremendously by sharing of health data and follow-up. Continuity of care is paramount in ensuring patient compliance with physician recommendations, and the ability for physicians to access patient data greatly assists in promoting continuity of care. </w:t>
      </w:r>
    </w:p>
    <w:p w:rsidR="00297AE8" w:rsidRDefault="006E339C">
      <w:pPr>
        <w:pStyle w:val="NoSpacing"/>
        <w:jc w:val="both"/>
        <w:rPr>
          <w:rFonts w:ascii="Times New Roman" w:hAnsi="Times New Roman" w:cs="Times New Roman"/>
          <w:b/>
          <w:sz w:val="24"/>
          <w:szCs w:val="24"/>
        </w:rPr>
      </w:pPr>
      <w:r>
        <w:rPr>
          <w:rFonts w:ascii="Times New Roman" w:hAnsi="Times New Roman" w:cs="Times New Roman"/>
          <w:b/>
          <w:sz w:val="24"/>
          <w:szCs w:val="24"/>
        </w:rPr>
        <w:t>Su</w:t>
      </w:r>
      <w:r>
        <w:rPr>
          <w:rFonts w:ascii="Times New Roman" w:hAnsi="Times New Roman" w:cs="Times New Roman"/>
          <w:b/>
          <w:sz w:val="24"/>
          <w:szCs w:val="24"/>
        </w:rPr>
        <w:t>bmitted by:</w:t>
      </w:r>
      <w:r>
        <w:rPr>
          <w:rFonts w:ascii="Times New Roman" w:hAnsi="Times New Roman" w:cs="Times New Roman"/>
          <w:b/>
          <w:sz w:val="24"/>
          <w:szCs w:val="24"/>
        </w:rPr>
        <w:tab/>
        <w:t>Erica Mallon, Esq., Corporate Counsel, Greenway Health</w:t>
      </w:r>
    </w:p>
    <w:p w:rsidR="00297AE8" w:rsidRDefault="00297AE8">
      <w:pPr>
        <w:pStyle w:val="NoSpacing"/>
        <w:jc w:val="both"/>
        <w:rPr>
          <w:rFonts w:ascii="Times New Roman" w:hAnsi="Times New Roman" w:cs="Times New Roman"/>
          <w:b/>
          <w:sz w:val="24"/>
          <w:szCs w:val="24"/>
        </w:rPr>
      </w:pPr>
    </w:p>
    <w:p w:rsidR="00297AE8" w:rsidRDefault="00297AE8">
      <w:pPr>
        <w:pStyle w:val="NoSpacing"/>
        <w:jc w:val="both"/>
        <w:rPr>
          <w:rFonts w:ascii="Times New Roman" w:hAnsi="Times New Roman" w:cs="Times New Roman"/>
          <w:b/>
          <w:sz w:val="24"/>
          <w:szCs w:val="24"/>
        </w:rPr>
      </w:pPr>
    </w:p>
    <w:p w:rsidR="00297AE8" w:rsidRDefault="00297AE8">
      <w:pPr>
        <w:pStyle w:val="NoSpacing"/>
        <w:jc w:val="both"/>
        <w:rPr>
          <w:rFonts w:ascii="Times New Roman" w:hAnsi="Times New Roman" w:cs="Times New Roman"/>
          <w:b/>
          <w:sz w:val="24"/>
          <w:szCs w:val="24"/>
        </w:rPr>
      </w:pPr>
    </w:p>
    <w:p w:rsidR="00297AE8" w:rsidRDefault="00297AE8">
      <w:pPr>
        <w:pStyle w:val="NoSpacing"/>
        <w:jc w:val="both"/>
        <w:rPr>
          <w:rFonts w:ascii="Times New Roman" w:hAnsi="Times New Roman" w:cs="Times New Roman"/>
          <w:b/>
          <w:sz w:val="24"/>
          <w:szCs w:val="24"/>
        </w:rPr>
      </w:pPr>
    </w:p>
    <w:p w:rsidR="00297AE8" w:rsidRDefault="00297AE8">
      <w:pPr>
        <w:pStyle w:val="NoSpacing"/>
        <w:jc w:val="both"/>
        <w:rPr>
          <w:rFonts w:ascii="Times New Roman" w:hAnsi="Times New Roman" w:cs="Times New Roman"/>
          <w:b/>
          <w:sz w:val="24"/>
          <w:szCs w:val="24"/>
        </w:rPr>
      </w:pPr>
    </w:p>
    <w:p w:rsidR="00297AE8" w:rsidRDefault="00297AE8">
      <w:pPr>
        <w:pStyle w:val="NoSpacing"/>
        <w:jc w:val="both"/>
        <w:rPr>
          <w:rFonts w:ascii="Times New Roman" w:hAnsi="Times New Roman" w:cs="Times New Roman"/>
          <w:b/>
          <w:sz w:val="24"/>
          <w:szCs w:val="24"/>
        </w:rPr>
      </w:pPr>
    </w:p>
    <w:p w:rsidR="00297AE8" w:rsidRDefault="006E339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 Recap of 2018 Transactions</w:t>
      </w:r>
    </w:p>
    <w:p w:rsidR="00297AE8" w:rsidRDefault="00297AE8">
      <w:pPr>
        <w:jc w:val="center"/>
        <w:rPr>
          <w:rFonts w:ascii="Times New Roman" w:hAnsi="Times New Roman" w:cs="Times New Roman"/>
          <w:sz w:val="24"/>
          <w:szCs w:val="24"/>
        </w:rPr>
      </w:pPr>
    </w:p>
    <w:p w:rsidR="00297AE8" w:rsidRDefault="006E339C">
      <w:pPr>
        <w:jc w:val="both"/>
        <w:rPr>
          <w:rFonts w:ascii="Times New Roman" w:hAnsi="Times New Roman" w:cs="Times New Roman"/>
          <w:sz w:val="24"/>
          <w:szCs w:val="24"/>
        </w:rPr>
      </w:pPr>
      <w:r>
        <w:rPr>
          <w:rFonts w:ascii="Times New Roman" w:hAnsi="Times New Roman" w:cs="Times New Roman"/>
          <w:sz w:val="24"/>
          <w:szCs w:val="24"/>
        </w:rPr>
        <w:t xml:space="preserve">The latter half of 2018 was bustling with large scale mergers, acquisitions and partnerships in Florida.  Here are a few highlights. </w:t>
      </w:r>
    </w:p>
    <w:p w:rsidR="00297AE8" w:rsidRDefault="006E339C">
      <w:pPr>
        <w:jc w:val="both"/>
        <w:rPr>
          <w:rFonts w:ascii="Times New Roman" w:hAnsi="Times New Roman" w:cs="Times New Roman"/>
          <w:sz w:val="24"/>
          <w:szCs w:val="24"/>
        </w:rPr>
      </w:pPr>
      <w:r>
        <w:rPr>
          <w:rFonts w:ascii="Times New Roman" w:hAnsi="Times New Roman" w:cs="Times New Roman"/>
          <w:b/>
          <w:sz w:val="24"/>
          <w:szCs w:val="24"/>
          <w:u w:val="single"/>
        </w:rPr>
        <w:t>Orlando Health – So</w:t>
      </w:r>
      <w:r>
        <w:rPr>
          <w:rFonts w:ascii="Times New Roman" w:hAnsi="Times New Roman" w:cs="Times New Roman"/>
          <w:b/>
          <w:sz w:val="24"/>
          <w:szCs w:val="24"/>
          <w:u w:val="single"/>
        </w:rPr>
        <w:t>uth Lake Hospital (Orlando, Florida)</w:t>
      </w:r>
      <w:r>
        <w:rPr>
          <w:rFonts w:ascii="Times New Roman" w:hAnsi="Times New Roman" w:cs="Times New Roman"/>
          <w:b/>
          <w:sz w:val="24"/>
          <w:szCs w:val="24"/>
        </w:rPr>
        <w:t>:</w:t>
      </w:r>
      <w:r>
        <w:rPr>
          <w:rFonts w:ascii="Times New Roman" w:hAnsi="Times New Roman" w:cs="Times New Roman"/>
          <w:sz w:val="24"/>
          <w:szCs w:val="24"/>
        </w:rPr>
        <w:t xml:space="preserve"> On December 3, 2018, Orlando Health announced that it is taking full control of South Lake Hospital (170 beds) in Clermont (Orlando, Florida) after over 20+ years of </w:t>
      </w:r>
      <w:proofErr w:type="gramStart"/>
      <w:r>
        <w:rPr>
          <w:rFonts w:ascii="Times New Roman" w:hAnsi="Times New Roman" w:cs="Times New Roman"/>
          <w:sz w:val="24"/>
          <w:szCs w:val="24"/>
        </w:rPr>
        <w:t>a joint partnership</w:t>
      </w:r>
      <w:proofErr w:type="gramEnd"/>
      <w:r>
        <w:rPr>
          <w:rFonts w:ascii="Times New Roman" w:hAnsi="Times New Roman" w:cs="Times New Roman"/>
          <w:sz w:val="24"/>
          <w:szCs w:val="24"/>
        </w:rPr>
        <w:t>.  As part of the deal, Orlando H</w:t>
      </w:r>
      <w:r>
        <w:rPr>
          <w:rFonts w:ascii="Times New Roman" w:hAnsi="Times New Roman" w:cs="Times New Roman"/>
          <w:sz w:val="24"/>
          <w:szCs w:val="24"/>
        </w:rPr>
        <w:t xml:space="preserve">ealth will: (1) invest $128M in a new foundation that will enrich healthcare service offerings in the </w:t>
      </w:r>
      <w:proofErr w:type="gramStart"/>
      <w:r>
        <w:rPr>
          <w:rFonts w:ascii="Times New Roman" w:hAnsi="Times New Roman" w:cs="Times New Roman"/>
          <w:sz w:val="24"/>
          <w:szCs w:val="24"/>
        </w:rPr>
        <w:t>region  service</w:t>
      </w:r>
      <w:proofErr w:type="gramEnd"/>
      <w:r>
        <w:rPr>
          <w:rFonts w:ascii="Times New Roman" w:hAnsi="Times New Roman" w:cs="Times New Roman"/>
          <w:sz w:val="24"/>
          <w:szCs w:val="24"/>
        </w:rPr>
        <w:t xml:space="preserve"> offering; and (2) commit to $99M for capital improvements in Southern Lake County.</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w:t>
      </w:r>
    </w:p>
    <w:p w:rsidR="00297AE8" w:rsidRDefault="006E339C">
      <w:pPr>
        <w:jc w:val="both"/>
        <w:rPr>
          <w:rFonts w:ascii="Times New Roman" w:hAnsi="Times New Roman" w:cs="Times New Roman"/>
          <w:sz w:val="24"/>
          <w:szCs w:val="24"/>
        </w:rPr>
      </w:pPr>
      <w:r>
        <w:rPr>
          <w:rFonts w:ascii="Times New Roman" w:hAnsi="Times New Roman" w:cs="Times New Roman"/>
          <w:b/>
          <w:sz w:val="24"/>
          <w:szCs w:val="24"/>
          <w:u w:val="single"/>
        </w:rPr>
        <w:t>Cleveland Clinic – Martin Memorial System – Indian Ri</w:t>
      </w:r>
      <w:r>
        <w:rPr>
          <w:rFonts w:ascii="Times New Roman" w:hAnsi="Times New Roman" w:cs="Times New Roman"/>
          <w:b/>
          <w:sz w:val="24"/>
          <w:szCs w:val="24"/>
          <w:u w:val="single"/>
        </w:rPr>
        <w:t>ver Medial Center (Treasure Coast)</w:t>
      </w:r>
      <w:r>
        <w:rPr>
          <w:rFonts w:ascii="Times New Roman" w:hAnsi="Times New Roman" w:cs="Times New Roman"/>
          <w:b/>
          <w:sz w:val="24"/>
          <w:szCs w:val="24"/>
        </w:rPr>
        <w:t>:</w:t>
      </w:r>
      <w:r>
        <w:rPr>
          <w:rFonts w:ascii="Times New Roman" w:hAnsi="Times New Roman" w:cs="Times New Roman"/>
          <w:sz w:val="24"/>
          <w:szCs w:val="24"/>
        </w:rPr>
        <w:t xml:space="preserve"> Cleveland Clinic signed formal agreements in early October to take over Martin Health System (Stuart, Florida) and Indian River Medical Center (Vero Beach, Florida). The transaction still needs regulatory approval, but the acquisition is significant and a</w:t>
      </w:r>
      <w:r>
        <w:rPr>
          <w:rFonts w:ascii="Times New Roman" w:hAnsi="Times New Roman" w:cs="Times New Roman"/>
          <w:sz w:val="24"/>
          <w:szCs w:val="24"/>
        </w:rPr>
        <w:t xml:space="preserve"> strong move for market share in South Florida. If both acquisitions are approved, Cleveland Clinic Florida will </w:t>
      </w:r>
      <w:proofErr w:type="gramStart"/>
      <w:r>
        <w:rPr>
          <w:rFonts w:ascii="Times New Roman" w:hAnsi="Times New Roman" w:cs="Times New Roman"/>
          <w:sz w:val="24"/>
          <w:szCs w:val="24"/>
        </w:rPr>
        <w:t>restructure  leadership</w:t>
      </w:r>
      <w:proofErr w:type="gramEnd"/>
      <w:r>
        <w:rPr>
          <w:rFonts w:ascii="Times New Roman" w:hAnsi="Times New Roman" w:cs="Times New Roman"/>
          <w:sz w:val="24"/>
          <w:szCs w:val="24"/>
        </w:rPr>
        <w:t>.  Cleveland Clinic’s new Florida region will include both the new hospital members plus Cleveland Clinical Florida Medi</w:t>
      </w:r>
      <w:r>
        <w:rPr>
          <w:rFonts w:ascii="Times New Roman" w:hAnsi="Times New Roman" w:cs="Times New Roman"/>
          <w:sz w:val="24"/>
          <w:szCs w:val="24"/>
        </w:rPr>
        <w:t>cal Center in Weston, Coral Springs Family Health Center and facilities in Palm Beach Gardens, Parkland, West Palm Beach, and Wellington.</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w:t>
      </w:r>
    </w:p>
    <w:p w:rsidR="00297AE8" w:rsidRDefault="006E339C">
      <w:pPr>
        <w:jc w:val="both"/>
        <w:rPr>
          <w:rFonts w:ascii="Times New Roman" w:hAnsi="Times New Roman" w:cs="Times New Roman"/>
          <w:sz w:val="24"/>
          <w:szCs w:val="24"/>
        </w:rPr>
      </w:pPr>
      <w:r>
        <w:rPr>
          <w:rFonts w:ascii="Times New Roman" w:hAnsi="Times New Roman" w:cs="Times New Roman"/>
          <w:b/>
          <w:sz w:val="24"/>
          <w:szCs w:val="24"/>
          <w:u w:val="single"/>
        </w:rPr>
        <w:t>HCA Merges 2 Tampa Hospitals (Tampa)</w:t>
      </w:r>
      <w:r>
        <w:rPr>
          <w:rFonts w:ascii="Times New Roman" w:hAnsi="Times New Roman" w:cs="Times New Roman"/>
          <w:b/>
          <w:sz w:val="24"/>
          <w:szCs w:val="24"/>
        </w:rPr>
        <w:t>:</w:t>
      </w:r>
      <w:r>
        <w:rPr>
          <w:rFonts w:ascii="Times New Roman" w:hAnsi="Times New Roman" w:cs="Times New Roman"/>
          <w:sz w:val="24"/>
          <w:szCs w:val="24"/>
        </w:rPr>
        <w:t xml:space="preserve"> HCA Healthcare merged Tampa Community Hospital (201 beds) with Memorial Hospit</w:t>
      </w:r>
      <w:r>
        <w:rPr>
          <w:rFonts w:ascii="Times New Roman" w:hAnsi="Times New Roman" w:cs="Times New Roman"/>
          <w:sz w:val="24"/>
          <w:szCs w:val="24"/>
        </w:rPr>
        <w:t xml:space="preserve">al of Tampa (183 beds). Tampa Community Hospital will now be a campus of Memorial Hospital of Tampa and the following services will be offered at Tampa Community Hospital: full service emergency room, inpatient acute medical services for behavioral health </w:t>
      </w:r>
      <w:r>
        <w:rPr>
          <w:rFonts w:ascii="Times New Roman" w:hAnsi="Times New Roman" w:cs="Times New Roman"/>
          <w:sz w:val="24"/>
          <w:szCs w:val="24"/>
        </w:rPr>
        <w:t>patients, inpatient and outpatient behavioral health services, and inpatient substance abuse treatment services.</w:t>
      </w:r>
      <w:r>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w:t>
      </w:r>
    </w:p>
    <w:p w:rsidR="00297AE8" w:rsidRDefault="006E339C">
      <w:pPr>
        <w:jc w:val="both"/>
        <w:rPr>
          <w:rFonts w:ascii="Times New Roman" w:hAnsi="Times New Roman" w:cs="Times New Roman"/>
          <w:sz w:val="24"/>
          <w:szCs w:val="24"/>
        </w:rPr>
      </w:pPr>
      <w:r>
        <w:rPr>
          <w:rFonts w:ascii="Times New Roman" w:hAnsi="Times New Roman" w:cs="Times New Roman"/>
          <w:b/>
          <w:sz w:val="24"/>
          <w:szCs w:val="24"/>
          <w:u w:val="single"/>
        </w:rPr>
        <w:t>Boca Raton Regional Hospital – Baptist Health South Florida (Palm Beach County)</w:t>
      </w:r>
      <w:r>
        <w:rPr>
          <w:rFonts w:ascii="Times New Roman" w:hAnsi="Times New Roman" w:cs="Times New Roman"/>
          <w:b/>
          <w:sz w:val="24"/>
          <w:szCs w:val="24"/>
        </w:rPr>
        <w:t>:</w:t>
      </w:r>
      <w:r>
        <w:rPr>
          <w:rFonts w:ascii="Times New Roman" w:hAnsi="Times New Roman" w:cs="Times New Roman"/>
          <w:sz w:val="24"/>
          <w:szCs w:val="24"/>
        </w:rPr>
        <w:t xml:space="preserve"> In July of 2018, Boca Raton Regional Hospital announced that</w:t>
      </w:r>
      <w:r>
        <w:rPr>
          <w:rFonts w:ascii="Times New Roman" w:hAnsi="Times New Roman" w:cs="Times New Roman"/>
          <w:sz w:val="24"/>
          <w:szCs w:val="24"/>
        </w:rPr>
        <w:t xml:space="preserve"> its Board of Trustees has selected Baptist Health South Florida as its recommendation for further strategic partnership discussions, beating out Cleveland Clinic. On November 27, 2018, </w:t>
      </w:r>
      <w:r>
        <w:rPr>
          <w:rStyle w:val="Hyperlink"/>
          <w:rFonts w:ascii="Times New Roman" w:hAnsi="Times New Roman" w:cs="Times New Roman"/>
          <w:color w:val="auto"/>
          <w:sz w:val="24"/>
          <w:szCs w:val="24"/>
          <w:u w:val="none"/>
        </w:rPr>
        <w:t>South Florida Business Journal</w:t>
      </w:r>
      <w:r>
        <w:rPr>
          <w:rFonts w:ascii="Times New Roman" w:hAnsi="Times New Roman" w:cs="Times New Roman"/>
          <w:sz w:val="24"/>
          <w:szCs w:val="24"/>
        </w:rPr>
        <w:t xml:space="preserve"> reported that Boca Raton Regional Hospi</w:t>
      </w:r>
      <w:r>
        <w:rPr>
          <w:rFonts w:ascii="Times New Roman" w:hAnsi="Times New Roman" w:cs="Times New Roman"/>
          <w:sz w:val="24"/>
          <w:szCs w:val="24"/>
        </w:rPr>
        <w:t>tal “nears deal” with Baptist Health.</w:t>
      </w:r>
      <w:r>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w:t>
      </w:r>
    </w:p>
    <w:p w:rsidR="00297AE8" w:rsidRDefault="006E339C">
      <w:pPr>
        <w:jc w:val="both"/>
        <w:rPr>
          <w:rFonts w:ascii="Times New Roman" w:hAnsi="Times New Roman" w:cs="Times New Roman"/>
          <w:b/>
          <w:sz w:val="24"/>
          <w:szCs w:val="24"/>
        </w:rPr>
      </w:pPr>
      <w:r>
        <w:rPr>
          <w:rFonts w:ascii="Times New Roman" w:hAnsi="Times New Roman" w:cs="Times New Roman"/>
          <w:b/>
          <w:sz w:val="24"/>
          <w:szCs w:val="24"/>
        </w:rPr>
        <w:t>Submitted by:</w:t>
      </w:r>
      <w:r>
        <w:rPr>
          <w:rFonts w:ascii="Times New Roman" w:hAnsi="Times New Roman" w:cs="Times New Roman"/>
          <w:b/>
          <w:sz w:val="24"/>
          <w:szCs w:val="24"/>
        </w:rPr>
        <w:tab/>
      </w:r>
      <w:proofErr w:type="spellStart"/>
      <w:r>
        <w:rPr>
          <w:rFonts w:ascii="Times New Roman" w:hAnsi="Times New Roman" w:cs="Times New Roman"/>
          <w:b/>
          <w:sz w:val="24"/>
          <w:szCs w:val="24"/>
        </w:rPr>
        <w:t>Anushree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Nakkana</w:t>
      </w:r>
      <w:proofErr w:type="spellEnd"/>
      <w:r>
        <w:rPr>
          <w:rFonts w:ascii="Times New Roman" w:hAnsi="Times New Roman" w:cs="Times New Roman"/>
          <w:b/>
          <w:sz w:val="24"/>
          <w:szCs w:val="24"/>
        </w:rPr>
        <w:t xml:space="preserve">, Esq., Managing Partner, ASN Law Firm </w:t>
      </w:r>
    </w:p>
    <w:p w:rsidR="00297AE8" w:rsidRDefault="00297AE8">
      <w:pPr>
        <w:pStyle w:val="BodyText"/>
        <w:jc w:val="center"/>
        <w:rPr>
          <w:rFonts w:cs="Times New Roman"/>
          <w:b/>
        </w:rPr>
      </w:pPr>
    </w:p>
    <w:p w:rsidR="00297AE8" w:rsidRDefault="00297AE8"/>
    <w:p w:rsidR="00297AE8" w:rsidRDefault="00297AE8">
      <w:pPr>
        <w:jc w:val="both"/>
        <w:rPr>
          <w:rFonts w:ascii="Times New Roman" w:hAnsi="Times New Roman" w:cs="Times New Roman"/>
          <w:sz w:val="24"/>
          <w:szCs w:val="24"/>
        </w:rPr>
      </w:pPr>
    </w:p>
    <w:p w:rsidR="00297AE8" w:rsidRDefault="00297AE8">
      <w:pPr>
        <w:jc w:val="both"/>
        <w:rPr>
          <w:rFonts w:ascii="Times New Roman" w:hAnsi="Times New Roman" w:cs="Times New Roman"/>
          <w:sz w:val="24"/>
          <w:szCs w:val="24"/>
        </w:rPr>
      </w:pPr>
    </w:p>
    <w:p w:rsidR="00297AE8" w:rsidRDefault="00297AE8">
      <w:pPr>
        <w:jc w:val="both"/>
        <w:rPr>
          <w:rFonts w:ascii="Times New Roman" w:hAnsi="Times New Roman" w:cs="Times New Roman"/>
          <w:sz w:val="24"/>
          <w:szCs w:val="24"/>
        </w:rPr>
      </w:pPr>
    </w:p>
    <w:p w:rsidR="00297AE8" w:rsidRDefault="00297AE8">
      <w:pPr>
        <w:jc w:val="both"/>
        <w:rPr>
          <w:rFonts w:ascii="Times New Roman" w:hAnsi="Times New Roman" w:cs="Times New Roman"/>
          <w:sz w:val="24"/>
          <w:szCs w:val="24"/>
        </w:rPr>
      </w:pPr>
    </w:p>
    <w:sectPr w:rsidR="00297AE8">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AE8" w:rsidRDefault="006E339C">
      <w:pPr>
        <w:spacing w:after="0" w:line="240" w:lineRule="auto"/>
      </w:pPr>
      <w:r>
        <w:separator/>
      </w:r>
    </w:p>
  </w:endnote>
  <w:endnote w:type="continuationSeparator" w:id="0">
    <w:p w:rsidR="00297AE8" w:rsidRDefault="006E339C">
      <w:pPr>
        <w:spacing w:after="0" w:line="240" w:lineRule="auto"/>
      </w:pPr>
      <w:r>
        <w:continuationSeparator/>
      </w:r>
    </w:p>
  </w:endnote>
  <w:endnote w:id="1">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Lee Health, </w:t>
      </w:r>
      <w:hyperlink r:id="rId1" w:history="1">
        <w:r>
          <w:rPr>
            <w:rFonts w:ascii="Times New Roman" w:hAnsi="Times New Roman" w:cs="Times New Roman"/>
            <w:sz w:val="20"/>
            <w:szCs w:val="20"/>
          </w:rPr>
          <w:t>http://www.leehealth.org/about/index.asp</w:t>
        </w:r>
      </w:hyperlink>
      <w:r>
        <w:rPr>
          <w:rFonts w:ascii="Times New Roman" w:hAnsi="Times New Roman" w:cs="Times New Roman"/>
          <w:sz w:val="20"/>
          <w:szCs w:val="20"/>
        </w:rPr>
        <w:t>.</w:t>
      </w:r>
    </w:p>
  </w:endnote>
  <w:endnote w:id="2">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endnoteRef/>
      </w:r>
      <w:r>
        <w:rPr>
          <w:rFonts w:ascii="Times New Roman" w:hAnsi="Times New Roman" w:cs="Times New Roman"/>
          <w:sz w:val="20"/>
          <w:szCs w:val="20"/>
        </w:rPr>
        <w:t xml:space="preserve"> Frank Gluck, </w:t>
      </w:r>
      <w:r>
        <w:rPr>
          <w:rFonts w:ascii="Times New Roman" w:hAnsi="Times New Roman" w:cs="Times New Roman"/>
          <w:i/>
          <w:sz w:val="20"/>
          <w:szCs w:val="20"/>
        </w:rPr>
        <w:t>Lee Health faced with federal whistleblower lawsuit for alleged Medicare fraud</w:t>
      </w:r>
      <w:r>
        <w:rPr>
          <w:rFonts w:ascii="Times New Roman" w:hAnsi="Times New Roman" w:cs="Times New Roman"/>
          <w:sz w:val="20"/>
          <w:szCs w:val="20"/>
        </w:rPr>
        <w:t xml:space="preserve">, </w:t>
      </w:r>
      <w:r>
        <w:rPr>
          <w:rFonts w:ascii="Times New Roman" w:hAnsi="Times New Roman" w:cs="Times New Roman"/>
          <w:smallCaps/>
          <w:sz w:val="20"/>
          <w:szCs w:val="20"/>
        </w:rPr>
        <w:t>News-Press.com</w:t>
      </w:r>
      <w:r>
        <w:rPr>
          <w:rFonts w:ascii="Times New Roman" w:hAnsi="Times New Roman" w:cs="Times New Roman"/>
          <w:sz w:val="20"/>
          <w:szCs w:val="20"/>
        </w:rPr>
        <w:t xml:space="preserve"> (Dec. 10, 2018), </w:t>
      </w:r>
      <w:hyperlink r:id="rId2" w:history="1">
        <w:r>
          <w:rPr>
            <w:rFonts w:ascii="Times New Roman" w:hAnsi="Times New Roman" w:cs="Times New Roman"/>
            <w:sz w:val="20"/>
            <w:szCs w:val="20"/>
          </w:rPr>
          <w:t>https://www.news-press.com/story/news/2018/12/10/lee-health-facing-whistleblower-lawsuit-alleged-medicare-fraud/2230002002/</w:t>
        </w:r>
      </w:hyperlink>
      <w:r>
        <w:rPr>
          <w:rFonts w:ascii="Times New Roman" w:hAnsi="Times New Roman" w:cs="Times New Roman"/>
          <w:sz w:val="20"/>
          <w:szCs w:val="20"/>
        </w:rPr>
        <w:t>.</w:t>
      </w:r>
    </w:p>
  </w:endnote>
  <w:endnote w:id="3">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42 C.F.R. § 1001.952</w:t>
      </w:r>
      <w:r>
        <w:rPr>
          <w:rFonts w:ascii="Times New Roman" w:hAnsi="Times New Roman" w:cs="Times New Roman"/>
          <w:sz w:val="20"/>
          <w:szCs w:val="20"/>
        </w:rPr>
        <w:t>(i).</w:t>
      </w:r>
    </w:p>
  </w:endnote>
  <w:endnote w:id="4">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endnoteRef/>
      </w:r>
      <w:r>
        <w:rPr>
          <w:rFonts w:ascii="Times New Roman" w:hAnsi="Times New Roman" w:cs="Times New Roman"/>
          <w:i/>
          <w:sz w:val="20"/>
          <w:szCs w:val="20"/>
        </w:rPr>
        <w:t xml:space="preserve"> U.S. ex rel. D’Anna v. Lee Mem’l Health Sys.</w:t>
      </w:r>
      <w:r>
        <w:rPr>
          <w:rFonts w:ascii="Times New Roman" w:hAnsi="Times New Roman" w:cs="Times New Roman"/>
          <w:sz w:val="20"/>
          <w:szCs w:val="20"/>
        </w:rPr>
        <w:t xml:space="preserve">, No. 2:14-cv-437-FtM-38CM, (M.D. Fla., Sep. 19, 2018), </w:t>
      </w:r>
      <w:r>
        <w:rPr>
          <w:rFonts w:ascii="Times New Roman" w:hAnsi="Times New Roman" w:cs="Times New Roman"/>
          <w:i/>
          <w:sz w:val="20"/>
          <w:szCs w:val="20"/>
        </w:rPr>
        <w:t>available at</w:t>
      </w:r>
      <w:r>
        <w:rPr>
          <w:rFonts w:ascii="Times New Roman" w:hAnsi="Times New Roman" w:cs="Times New Roman"/>
          <w:sz w:val="20"/>
          <w:szCs w:val="20"/>
        </w:rPr>
        <w:t xml:space="preserve"> </w:t>
      </w:r>
      <w:hyperlink r:id="rId3" w:history="1">
        <w:r>
          <w:rPr>
            <w:rStyle w:val="Hyperlink"/>
            <w:rFonts w:ascii="Times New Roman" w:hAnsi="Times New Roman" w:cs="Times New Roman"/>
            <w:color w:val="auto"/>
            <w:sz w:val="20"/>
            <w:szCs w:val="20"/>
            <w:u w:val="none"/>
          </w:rPr>
          <w:t>https://ecf.flmd.uscourts.gov/cgi-bin/show_publ</w:t>
        </w:r>
        <w:r>
          <w:rPr>
            <w:rStyle w:val="Hyperlink"/>
            <w:rFonts w:ascii="Times New Roman" w:hAnsi="Times New Roman" w:cs="Times New Roman"/>
            <w:color w:val="auto"/>
            <w:sz w:val="20"/>
            <w:szCs w:val="20"/>
            <w:u w:val="none"/>
          </w:rPr>
          <w:t>ic_doc?2014-00437-71-2-cv</w:t>
        </w:r>
      </w:hyperlink>
      <w:r>
        <w:rPr>
          <w:rFonts w:ascii="Times New Roman" w:hAnsi="Times New Roman" w:cs="Times New Roman"/>
          <w:sz w:val="20"/>
          <w:szCs w:val="20"/>
        </w:rPr>
        <w:t xml:space="preserve">.  </w:t>
      </w:r>
    </w:p>
  </w:endnote>
  <w:endnote w:id="5">
    <w:p w:rsidR="00297AE8" w:rsidRDefault="006E339C">
      <w:pPr>
        <w:pBdr>
          <w:top w:val="nil"/>
          <w:left w:val="nil"/>
          <w:bottom w:val="nil"/>
          <w:right w:val="nil"/>
          <w:between w:val="nil"/>
        </w:pBdr>
        <w:spacing w:after="0" w:line="240" w:lineRule="auto"/>
        <w:jc w:val="both"/>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Press Release, U.S. Dep’t of Justice, Fourteen Hospitals to Pay U.S. More Than $12 Million to Resolve False Claims Act Allegations Related to Kyphoplasty (Feb. 7, 2012), </w:t>
      </w:r>
      <w:r>
        <w:rPr>
          <w:rFonts w:ascii="Times New Roman" w:hAnsi="Times New Roman" w:cs="Times New Roman"/>
          <w:i/>
          <w:sz w:val="20"/>
          <w:szCs w:val="20"/>
        </w:rPr>
        <w:t>available at</w:t>
      </w:r>
      <w:r>
        <w:rPr>
          <w:rFonts w:ascii="Times New Roman" w:hAnsi="Times New Roman" w:cs="Times New Roman"/>
          <w:sz w:val="20"/>
          <w:szCs w:val="20"/>
        </w:rPr>
        <w:t xml:space="preserve"> </w:t>
      </w:r>
      <w:hyperlink r:id="rId4" w:history="1">
        <w:r>
          <w:rPr>
            <w:rFonts w:ascii="Times New Roman" w:hAnsi="Times New Roman" w:cs="Times New Roman"/>
            <w:sz w:val="20"/>
            <w:szCs w:val="20"/>
          </w:rPr>
          <w:t>https://www.justice.gov/opa/pr/fourteen-hospitals-pay-us-more-12-million-resolve-false-claims-act-allegations-related</w:t>
        </w:r>
      </w:hyperlink>
      <w:r>
        <w:rPr>
          <w:rFonts w:ascii="Times New Roman" w:hAnsi="Times New Roman" w:cs="Times New Roman"/>
          <w:sz w:val="20"/>
          <w:szCs w:val="20"/>
        </w:rPr>
        <w:t>.</w:t>
      </w:r>
    </w:p>
  </w:endnote>
  <w:endnote w:id="6">
    <w:p w:rsidR="00297AE8" w:rsidRDefault="006E339C">
      <w:pPr>
        <w:pBdr>
          <w:top w:val="nil"/>
          <w:left w:val="nil"/>
          <w:bottom w:val="nil"/>
          <w:right w:val="nil"/>
          <w:between w:val="nil"/>
        </w:pBdr>
        <w:spacing w:after="0" w:line="240" w:lineRule="auto"/>
        <w:jc w:val="both"/>
      </w:pPr>
      <w:r>
        <w:rPr>
          <w:rFonts w:ascii="Times New Roman" w:hAnsi="Times New Roman" w:cs="Times New Roman"/>
          <w:sz w:val="20"/>
          <w:szCs w:val="20"/>
          <w:vertAlign w:val="superscript"/>
        </w:rPr>
        <w:endnoteRef/>
      </w:r>
      <w:r>
        <w:rPr>
          <w:rFonts w:ascii="Times New Roman" w:hAnsi="Times New Roman" w:cs="Times New Roman"/>
          <w:sz w:val="20"/>
          <w:szCs w:val="20"/>
        </w:rPr>
        <w:t xml:space="preserve"> 42 C.F.R. § 411.351.</w:t>
      </w:r>
      <w:r>
        <w:t xml:space="preserve"> </w:t>
      </w:r>
    </w:p>
  </w:endnote>
  <w:endnote w:id="7">
    <w:p w:rsidR="00297AE8" w:rsidRDefault="006E339C">
      <w:pPr>
        <w:pBdr>
          <w:top w:val="nil"/>
          <w:left w:val="nil"/>
          <w:bottom w:val="nil"/>
          <w:right w:val="nil"/>
          <w:between w:val="nil"/>
        </w:pBdr>
        <w:spacing w:after="0" w:line="240" w:lineRule="auto"/>
        <w:jc w:val="both"/>
        <w:rPr>
          <w:rFonts w:ascii="Times New Roman" w:hAnsi="Times New Roman" w:cs="Times New Roman"/>
        </w:rPr>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No. 17-3108RX at *31 (Fla. Div. of Admin. </w:t>
      </w:r>
      <w:r>
        <w:rPr>
          <w:rFonts w:ascii="Times New Roman" w:hAnsi="Times New Roman" w:cs="Times New Roman"/>
          <w:sz w:val="20"/>
          <w:szCs w:val="20"/>
        </w:rPr>
        <w:t>Hearings May 8, 2018) (Final Order).</w:t>
      </w:r>
    </w:p>
  </w:endnote>
  <w:endnote w:id="8">
    <w:p w:rsidR="00297AE8" w:rsidRDefault="006E339C">
      <w:pPr>
        <w:pBdr>
          <w:top w:val="nil"/>
          <w:left w:val="nil"/>
          <w:bottom w:val="nil"/>
          <w:right w:val="nil"/>
          <w:between w:val="nil"/>
        </w:pBdr>
        <w:spacing w:after="0" w:line="240" w:lineRule="auto"/>
        <w:jc w:val="both"/>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at *18.</w:t>
      </w:r>
      <w:r>
        <w:t xml:space="preserve"> </w:t>
      </w:r>
    </w:p>
  </w:endnote>
  <w:endnote w:id="9">
    <w:p w:rsidR="00297AE8" w:rsidRDefault="006E339C">
      <w:pPr>
        <w:pBdr>
          <w:top w:val="nil"/>
          <w:left w:val="nil"/>
          <w:bottom w:val="nil"/>
          <w:right w:val="nil"/>
          <w:between w:val="nil"/>
        </w:pBdr>
        <w:spacing w:after="0" w:line="240" w:lineRule="auto"/>
        <w:jc w:val="both"/>
      </w:pPr>
      <w:r>
        <w:rPr>
          <w:rFonts w:ascii="Times New Roman" w:hAnsi="Times New Roman" w:cs="Times New Roman"/>
          <w:sz w:val="20"/>
          <w:szCs w:val="20"/>
          <w:vertAlign w:val="superscript"/>
        </w:rPr>
        <w:endnoteRef/>
      </w:r>
      <w:r>
        <w:rPr>
          <w:rFonts w:ascii="Times New Roman" w:hAnsi="Times New Roman" w:cs="Times New Roman"/>
          <w:sz w:val="20"/>
          <w:szCs w:val="20"/>
        </w:rPr>
        <w:t xml:space="preserve"> </w:t>
      </w:r>
      <w:r>
        <w:rPr>
          <w:rFonts w:ascii="Times New Roman" w:hAnsi="Times New Roman" w:cs="Times New Roman"/>
          <w:i/>
          <w:sz w:val="20"/>
          <w:szCs w:val="20"/>
        </w:rPr>
        <w:t>Bayfront Health Port Charlotte v. Sarasota County Public Hospital District</w:t>
      </w:r>
      <w:r>
        <w:rPr>
          <w:rFonts w:ascii="Times New Roman" w:hAnsi="Times New Roman" w:cs="Times New Roman"/>
          <w:sz w:val="20"/>
          <w:szCs w:val="20"/>
        </w:rPr>
        <w:t>, No. 17-0510CON (Fla. Div. of Admin. Hearings May 8, 2018) (Recommended Order), (Agency for Health Care Admin. July 9, 2018) (</w:t>
      </w:r>
      <w:r>
        <w:rPr>
          <w:rFonts w:ascii="Times New Roman" w:hAnsi="Times New Roman" w:cs="Times New Roman"/>
          <w:sz w:val="20"/>
          <w:szCs w:val="20"/>
        </w:rPr>
        <w:t>Final Order).</w:t>
      </w:r>
    </w:p>
  </w:endnote>
  <w:endnote w:id="10">
    <w:p w:rsidR="00297AE8" w:rsidRDefault="006E339C">
      <w:pPr>
        <w:pBdr>
          <w:top w:val="nil"/>
          <w:left w:val="nil"/>
          <w:bottom w:val="nil"/>
          <w:right w:val="nil"/>
          <w:between w:val="nil"/>
        </w:pBdr>
        <w:spacing w:after="0" w:line="240" w:lineRule="auto"/>
        <w:jc w:val="both"/>
        <w:rPr>
          <w:rFonts w:ascii="Times New Roman" w:eastAsia="Calibri" w:hAnsi="Times New Roman" w:cs="Times New Roman"/>
          <w:smallCaps/>
          <w:color w:val="000000"/>
          <w:sz w:val="20"/>
          <w:szCs w:val="20"/>
        </w:rPr>
      </w:pPr>
      <w:r>
        <w:rPr>
          <w:rFonts w:ascii="Times New Roman" w:eastAsia="Calibri" w:hAnsi="Times New Roman" w:cs="Times New Roman"/>
          <w:smallCaps/>
          <w:color w:val="000000"/>
          <w:sz w:val="20"/>
          <w:szCs w:val="20"/>
          <w:vertAlign w:val="superscript"/>
        </w:rPr>
        <w:endnoteRef/>
      </w:r>
      <w:r>
        <w:rPr>
          <w:rFonts w:ascii="Times New Roman" w:eastAsia="Calibri" w:hAnsi="Times New Roman" w:cs="Times New Roman"/>
          <w:color w:val="000000"/>
          <w:sz w:val="20"/>
          <w:szCs w:val="20"/>
        </w:rPr>
        <w:t xml:space="preserve"> Medicare Program; Revisions to Payment Policies Under the Physician Fee Schedule and Other Revisions to Part B for CY2019, Part I, 83 Fed. Reg. 59,452 (Nov. 23, 2018) (to be codified at 42 C.F.R. Parts 405, 410, 411, 414, 415, 425, 495).</w:t>
      </w:r>
    </w:p>
  </w:endnote>
  <w:endnote w:id="11">
    <w:p w:rsidR="00297AE8" w:rsidRDefault="006E339C">
      <w:pPr>
        <w:pBdr>
          <w:top w:val="nil"/>
          <w:left w:val="nil"/>
          <w:bottom w:val="nil"/>
          <w:right w:val="nil"/>
          <w:between w:val="nil"/>
        </w:pBdr>
        <w:spacing w:after="0" w:line="240" w:lineRule="auto"/>
      </w:pPr>
      <w:r>
        <w:rPr>
          <w:rFonts w:ascii="Times New Roman" w:eastAsia="Calibri" w:hAnsi="Times New Roman" w:cs="Times New Roman"/>
          <w:smallCaps/>
          <w:color w:val="000000"/>
          <w:sz w:val="20"/>
          <w:szCs w:val="20"/>
          <w:vertAlign w:val="superscript"/>
        </w:rPr>
        <w:endnoteRef/>
      </w:r>
      <w:r>
        <w:rPr>
          <w:rFonts w:ascii="Times New Roman" w:eastAsia="Calibri" w:hAnsi="Times New Roman" w:cs="Times New Roman"/>
          <w:smallCaps/>
          <w:color w:val="000000"/>
          <w:sz w:val="20"/>
          <w:szCs w:val="20"/>
          <w:vertAlign w:val="superscript"/>
        </w:rPr>
        <w:t xml:space="preserve"> </w:t>
      </w:r>
      <w:r>
        <w:rPr>
          <w:rFonts w:ascii="Times New Roman" w:eastAsia="Calibri" w:hAnsi="Times New Roman" w:cs="Times New Roman"/>
          <w:smallCaps/>
          <w:color w:val="000000"/>
          <w:sz w:val="20"/>
          <w:szCs w:val="20"/>
          <w:vertAlign w:val="superscript"/>
        </w:rPr>
        <w:t xml:space="preserve"> </w:t>
      </w:r>
      <w:r>
        <w:rPr>
          <w:rFonts w:ascii="Times New Roman" w:eastAsia="Calibri" w:hAnsi="Times New Roman" w:cs="Times New Roman"/>
          <w:i/>
          <w:color w:val="000000"/>
          <w:sz w:val="20"/>
          <w:szCs w:val="20"/>
        </w:rPr>
        <w:t>Id.</w:t>
      </w:r>
      <w:r>
        <w:rPr>
          <w:rFonts w:ascii="Times New Roman" w:eastAsia="Calibri" w:hAnsi="Times New Roman" w:cs="Times New Roman"/>
          <w:color w:val="000000"/>
          <w:sz w:val="20"/>
          <w:szCs w:val="20"/>
        </w:rPr>
        <w:t xml:space="preserve"> at Part II.</w:t>
      </w:r>
    </w:p>
  </w:endnote>
  <w:endnote w:id="12">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w:t>
      </w:r>
      <w:r>
        <w:rPr>
          <w:rFonts w:ascii="Times New Roman" w:hAnsi="Times New Roman" w:cs="Times New Roman"/>
          <w:sz w:val="20"/>
          <w:szCs w:val="20"/>
        </w:rPr>
        <w:t>“Established Patients” are those who have received professional services from the physician or qualified health care professional or another physician or qualified health care professional of the exact same specialty and subspecialty who belongs to the sam</w:t>
      </w:r>
      <w:r>
        <w:rPr>
          <w:rFonts w:ascii="Times New Roman" w:hAnsi="Times New Roman" w:cs="Times New Roman"/>
          <w:sz w:val="20"/>
          <w:szCs w:val="20"/>
        </w:rPr>
        <w:t xml:space="preserve">e group practice, within the past three (3) years. </w:t>
      </w:r>
    </w:p>
  </w:endnote>
  <w:endnote w:id="13">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Medicare has restricted coverage of telehealth services to beneficiaries who reside within certain geographic rural areas and who seek such services at specific “originating sites” (patient beneficiary</w:t>
      </w:r>
      <w:r>
        <w:rPr>
          <w:rFonts w:ascii="Times New Roman" w:hAnsi="Times New Roman" w:cs="Times New Roman"/>
          <w:sz w:val="20"/>
          <w:szCs w:val="20"/>
        </w:rPr>
        <w:t xml:space="preserve">’s home is not included in the current Medicare definition for “originating site”).  </w:t>
      </w:r>
      <w:r>
        <w:rPr>
          <w:rFonts w:ascii="Times New Roman" w:hAnsi="Times New Roman" w:cs="Times New Roman"/>
          <w:i/>
          <w:sz w:val="20"/>
          <w:szCs w:val="20"/>
        </w:rPr>
        <w:t>See</w:t>
      </w:r>
      <w:r>
        <w:rPr>
          <w:rFonts w:ascii="Times New Roman" w:hAnsi="Times New Roman" w:cs="Times New Roman"/>
          <w:sz w:val="20"/>
          <w:szCs w:val="20"/>
        </w:rPr>
        <w:t xml:space="preserve"> Amy Lerman, </w:t>
      </w:r>
      <w:r>
        <w:rPr>
          <w:rFonts w:ascii="Times New Roman" w:hAnsi="Times New Roman" w:cs="Times New Roman"/>
          <w:i/>
          <w:sz w:val="20"/>
          <w:szCs w:val="20"/>
        </w:rPr>
        <w:t>OIG Updates FY 2017 Work Plan to Include Review of Medicare Claims for Telehealth Services Provided to Rural Beneficiaries: Will Substantive Change to Medi</w:t>
      </w:r>
      <w:r>
        <w:rPr>
          <w:rFonts w:ascii="Times New Roman" w:hAnsi="Times New Roman" w:cs="Times New Roman"/>
          <w:i/>
          <w:sz w:val="20"/>
          <w:szCs w:val="20"/>
        </w:rPr>
        <w:t>care Reimbursement for Telehealth Follow?</w:t>
      </w:r>
      <w:r>
        <w:rPr>
          <w:rFonts w:ascii="Times New Roman" w:hAnsi="Times New Roman" w:cs="Times New Roman"/>
          <w:sz w:val="20"/>
          <w:szCs w:val="20"/>
        </w:rPr>
        <w:t xml:space="preserve">, </w:t>
      </w:r>
      <w:r>
        <w:rPr>
          <w:rFonts w:ascii="Times New Roman" w:hAnsi="Times New Roman" w:cs="Times New Roman"/>
          <w:smallCaps/>
          <w:sz w:val="20"/>
          <w:szCs w:val="20"/>
        </w:rPr>
        <w:t>Epstein Becker Green</w:t>
      </w:r>
      <w:r>
        <w:rPr>
          <w:rFonts w:ascii="Times New Roman" w:hAnsi="Times New Roman" w:cs="Times New Roman"/>
          <w:sz w:val="20"/>
          <w:szCs w:val="20"/>
        </w:rPr>
        <w:t xml:space="preserve"> (July 26, 2017), </w:t>
      </w:r>
      <w:hyperlink r:id="rId5" w:history="1">
        <w:r>
          <w:rPr>
            <w:rStyle w:val="Hyperlink"/>
            <w:rFonts w:ascii="Times New Roman" w:hAnsi="Times New Roman" w:cs="Times New Roman"/>
            <w:color w:val="auto"/>
            <w:sz w:val="20"/>
            <w:szCs w:val="20"/>
            <w:u w:val="none"/>
          </w:rPr>
          <w:t>https://www.techhealthperspectives.com/2017/07/26/oig-updates-fy-2017-work-plan-to-include-review-of-medicare -claims-for-telehealth-services-provided-to-rural-benefi</w:t>
        </w:r>
        <w:r>
          <w:rPr>
            <w:rStyle w:val="Hyperlink"/>
            <w:rFonts w:ascii="Times New Roman" w:hAnsi="Times New Roman" w:cs="Times New Roman"/>
            <w:color w:val="auto"/>
            <w:sz w:val="20"/>
            <w:szCs w:val="20"/>
            <w:u w:val="none"/>
          </w:rPr>
          <w:t>ciaries-will-substantive-change-to-medicare-reimbursement-for-telehealth-follow/</w:t>
        </w:r>
      </w:hyperlink>
      <w:r>
        <w:rPr>
          <w:rFonts w:ascii="Times New Roman" w:hAnsi="Times New Roman" w:cs="Times New Roman"/>
          <w:sz w:val="20"/>
          <w:szCs w:val="20"/>
        </w:rPr>
        <w:t xml:space="preserve">. </w:t>
      </w:r>
    </w:p>
  </w:endnote>
  <w:endnote w:id="14">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By making this statement regarding the addition of the above-originating sites, CMS is planning to implement the requirements of the Bipartisan Budget Act of 2018.</w:t>
      </w:r>
    </w:p>
  </w:endnote>
  <w:endnote w:id="15">
    <w:p w:rsidR="00297AE8" w:rsidRDefault="006E339C">
      <w:pPr>
        <w:pBdr>
          <w:top w:val="nil"/>
          <w:left w:val="nil"/>
          <w:bottom w:val="nil"/>
          <w:right w:val="nil"/>
          <w:between w:val="nil"/>
        </w:pBdr>
        <w:spacing w:after="0" w:line="240" w:lineRule="auto"/>
        <w:jc w:val="both"/>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You</w:t>
      </w:r>
      <w:r>
        <w:rPr>
          <w:rFonts w:ascii="Times New Roman" w:hAnsi="Times New Roman" w:cs="Times New Roman"/>
          <w:sz w:val="20"/>
          <w:szCs w:val="20"/>
        </w:rPr>
        <w:t xml:space="preserve"> may read more about this change in a </w:t>
      </w:r>
      <w:hyperlink r:id="rId6" w:history="1">
        <w:r>
          <w:rPr>
            <w:rFonts w:ascii="Times New Roman" w:hAnsi="Times New Roman" w:cs="Times New Roman"/>
            <w:sz w:val="20"/>
            <w:szCs w:val="20"/>
          </w:rPr>
          <w:t>recent post</w:t>
        </w:r>
      </w:hyperlink>
      <w:r>
        <w:rPr>
          <w:rFonts w:ascii="Times New Roman" w:hAnsi="Times New Roman" w:cs="Times New Roman"/>
          <w:sz w:val="20"/>
          <w:szCs w:val="20"/>
        </w:rPr>
        <w:t xml:space="preserve"> covering the SUPPORT for Patients and Communities Act sought to address originating site restrictions by granting Medicare coverage of telehealth services to eligible beneficiaries in their home.  Charles C. Dunham, IV. &amp; Matthew Sprankle, </w:t>
      </w:r>
      <w:r>
        <w:rPr>
          <w:rFonts w:ascii="Times New Roman" w:hAnsi="Times New Roman" w:cs="Times New Roman"/>
          <w:i/>
          <w:sz w:val="20"/>
          <w:szCs w:val="20"/>
        </w:rPr>
        <w:t>The SUPPORT for</w:t>
      </w:r>
      <w:r>
        <w:rPr>
          <w:rFonts w:ascii="Times New Roman" w:hAnsi="Times New Roman" w:cs="Times New Roman"/>
          <w:i/>
          <w:sz w:val="20"/>
          <w:szCs w:val="20"/>
        </w:rPr>
        <w:t xml:space="preserve"> Patients and Communities Act: Expanding Medicare Coverage of Telehealth Services to Combat the Opioid Crisis</w:t>
      </w:r>
      <w:r>
        <w:rPr>
          <w:rFonts w:ascii="Times New Roman" w:hAnsi="Times New Roman" w:cs="Times New Roman"/>
          <w:sz w:val="20"/>
          <w:szCs w:val="20"/>
        </w:rPr>
        <w:t xml:space="preserve">, </w:t>
      </w:r>
      <w:r>
        <w:rPr>
          <w:rFonts w:ascii="Times New Roman" w:hAnsi="Times New Roman" w:cs="Times New Roman"/>
          <w:smallCaps/>
          <w:sz w:val="20"/>
          <w:szCs w:val="20"/>
        </w:rPr>
        <w:t xml:space="preserve">Epstein Becker Green </w:t>
      </w:r>
      <w:r>
        <w:rPr>
          <w:rFonts w:ascii="Times New Roman" w:hAnsi="Times New Roman" w:cs="Times New Roman"/>
          <w:sz w:val="20"/>
          <w:szCs w:val="20"/>
        </w:rPr>
        <w:t>(Nov. 5, 2018), https://www.techhealthperspectives.com/2018/11/05/the-support-for-patients-and-communities-act-expanding-med</w:t>
      </w:r>
      <w:r>
        <w:rPr>
          <w:rFonts w:ascii="Times New Roman" w:hAnsi="Times New Roman" w:cs="Times New Roman"/>
          <w:sz w:val="20"/>
          <w:szCs w:val="20"/>
        </w:rPr>
        <w:t>icare-coverage-of-telehealth-services-to-combat-the-opioid-crisis/.</w:t>
      </w:r>
    </w:p>
  </w:endnote>
  <w:endnote w:id="16">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Section 1834m of the Social Security Act defines store-and-forward technologies as “asynchronous transmission of health care information.”</w:t>
      </w:r>
    </w:p>
  </w:endnote>
  <w:endnote w:id="17">
    <w:p w:rsidR="00297AE8" w:rsidRDefault="006E339C">
      <w:pPr>
        <w:pBdr>
          <w:top w:val="nil"/>
          <w:left w:val="nil"/>
          <w:bottom w:val="nil"/>
          <w:right w:val="nil"/>
          <w:between w:val="nil"/>
        </w:pBdr>
        <w:spacing w:after="0" w:line="240" w:lineRule="auto"/>
        <w:jc w:val="both"/>
      </w:pPr>
      <w:r>
        <w:rPr>
          <w:rFonts w:ascii="Times New Roman" w:hAnsi="Times New Roman" w:cs="Times New Roman"/>
          <w:sz w:val="20"/>
          <w:szCs w:val="20"/>
          <w:vertAlign w:val="superscript"/>
        </w:rPr>
        <w:end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CPT Code 99453 describes remote monitoring </w:t>
      </w:r>
      <w:r>
        <w:rPr>
          <w:rFonts w:ascii="Times New Roman" w:hAnsi="Times New Roman" w:cs="Times New Roman"/>
          <w:sz w:val="20"/>
          <w:szCs w:val="20"/>
        </w:rPr>
        <w:t>of physiologic parameters related to initial set-up and patient education regarding use of equipment. CPT Code 99454 also involves remote monitoring of physiological parameters, but related to the remote device(s)’s “supply with daily recording(s) or progr</w:t>
      </w:r>
      <w:r>
        <w:rPr>
          <w:rFonts w:ascii="Times New Roman" w:hAnsi="Times New Roman" w:cs="Times New Roman"/>
          <w:sz w:val="20"/>
          <w:szCs w:val="20"/>
        </w:rPr>
        <w:t>ammed alert(s) transmission.” CPT Code 99457 permits billing for “[r]emote physiologic monitoring treatment management services, 20 minutes or more of clinical staff/physician/other qualified healthcare professional time in a calendar month requiring inter</w:t>
      </w:r>
      <w:r>
        <w:rPr>
          <w:rFonts w:ascii="Times New Roman" w:hAnsi="Times New Roman" w:cs="Times New Roman"/>
          <w:sz w:val="20"/>
          <w:szCs w:val="20"/>
        </w:rPr>
        <w:t>active communication with the patient/caregiver during the month.” This new code will be much easier to track since payment is based on the time spent per calendar month (rather than the per 30-day intervals of its prior iteration), which will better align</w:t>
      </w:r>
      <w:r>
        <w:rPr>
          <w:rFonts w:ascii="Times New Roman" w:hAnsi="Times New Roman" w:cs="Times New Roman"/>
          <w:sz w:val="20"/>
          <w:szCs w:val="20"/>
        </w:rPr>
        <w:t xml:space="preserve"> with claims submission and recordkeeping practices.</w:t>
      </w:r>
    </w:p>
  </w:endnote>
  <w:endnote w:id="18">
    <w:p w:rsidR="00297AE8" w:rsidRDefault="006E339C">
      <w:pPr>
        <w:pStyle w:val="EndnoteText"/>
        <w:spacing w:after="0"/>
      </w:pPr>
      <w:r>
        <w:rPr>
          <w:rStyle w:val="EndnoteReference"/>
        </w:rPr>
        <w:endnoteRef/>
      </w:r>
      <w:r>
        <w:t xml:space="preserve"> 83 Fed. Reg. at 59,575.</w:t>
      </w:r>
    </w:p>
  </w:endnote>
  <w:endnote w:id="19">
    <w:p w:rsidR="00297AE8" w:rsidRDefault="006E339C">
      <w:pPr>
        <w:pBdr>
          <w:top w:val="nil"/>
          <w:left w:val="nil"/>
          <w:bottom w:val="nil"/>
          <w:right w:val="nil"/>
          <w:between w:val="nil"/>
        </w:pBd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Elizabeth Litten, </w:t>
      </w:r>
      <w:r>
        <w:rPr>
          <w:rFonts w:ascii="Times New Roman" w:eastAsia="Calibri" w:hAnsi="Times New Roman" w:cs="Times New Roman"/>
          <w:i/>
          <w:color w:val="000000"/>
          <w:sz w:val="20"/>
          <w:szCs w:val="20"/>
        </w:rPr>
        <w:t>New Apple Watch May Mark Time to Rethink HIPAA</w:t>
      </w:r>
      <w:r>
        <w:rPr>
          <w:rFonts w:ascii="Times New Roman" w:eastAsia="Calibri" w:hAnsi="Times New Roman" w:cs="Times New Roman"/>
          <w:color w:val="000000"/>
          <w:sz w:val="20"/>
          <w:szCs w:val="20"/>
        </w:rPr>
        <w:t xml:space="preserve">, </w:t>
      </w:r>
      <w:r>
        <w:rPr>
          <w:rFonts w:ascii="Times New Roman" w:eastAsia="Calibri" w:hAnsi="Times New Roman" w:cs="Times New Roman"/>
          <w:smallCaps/>
          <w:color w:val="000000"/>
          <w:sz w:val="20"/>
          <w:szCs w:val="20"/>
        </w:rPr>
        <w:t xml:space="preserve">Fox Rothschild LLP </w:t>
      </w:r>
      <w:r>
        <w:rPr>
          <w:rFonts w:ascii="Times New Roman" w:eastAsia="Calibri" w:hAnsi="Times New Roman" w:cs="Times New Roman"/>
          <w:color w:val="000000"/>
          <w:sz w:val="20"/>
          <w:szCs w:val="20"/>
        </w:rPr>
        <w:t>(Nov. 13, 2018), https://hipaahealthlaw.foxrothschild.com/2018/11/articles/hit-health-inf</w:t>
      </w:r>
      <w:r>
        <w:rPr>
          <w:rFonts w:ascii="Times New Roman" w:eastAsia="Calibri" w:hAnsi="Times New Roman" w:cs="Times New Roman"/>
          <w:color w:val="000000"/>
          <w:sz w:val="20"/>
          <w:szCs w:val="20"/>
        </w:rPr>
        <w:t>ormation-technol/new-apple-watch-may-mark-time-rethink-hipaa/.</w:t>
      </w:r>
    </w:p>
  </w:endnote>
  <w:endnote w:id="20">
    <w:p w:rsidR="00297AE8" w:rsidRDefault="006E339C">
      <w:pPr>
        <w:pBdr>
          <w:top w:val="nil"/>
          <w:left w:val="nil"/>
          <w:bottom w:val="nil"/>
          <w:right w:val="nil"/>
          <w:between w:val="nil"/>
        </w:pBd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Matt Burns, </w:t>
      </w:r>
      <w:r>
        <w:rPr>
          <w:rFonts w:ascii="Times New Roman" w:eastAsia="Calibri" w:hAnsi="Times New Roman" w:cs="Times New Roman"/>
          <w:i/>
          <w:color w:val="000000"/>
          <w:sz w:val="20"/>
          <w:szCs w:val="20"/>
        </w:rPr>
        <w:t>Apple Watch Series 5 Can Detect AFib and Perform An ECG</w:t>
      </w:r>
      <w:r>
        <w:rPr>
          <w:rFonts w:ascii="Times New Roman" w:eastAsia="Calibri" w:hAnsi="Times New Roman" w:cs="Times New Roman"/>
          <w:color w:val="000000"/>
          <w:sz w:val="20"/>
          <w:szCs w:val="20"/>
        </w:rPr>
        <w:t xml:space="preserve">, </w:t>
      </w:r>
      <w:r>
        <w:rPr>
          <w:rFonts w:ascii="Times New Roman" w:eastAsia="Calibri" w:hAnsi="Times New Roman" w:cs="Times New Roman"/>
          <w:smallCaps/>
          <w:color w:val="000000"/>
          <w:sz w:val="20"/>
          <w:szCs w:val="20"/>
        </w:rPr>
        <w:t>TechCrunch</w:t>
      </w:r>
      <w:r>
        <w:rPr>
          <w:rFonts w:ascii="Times New Roman" w:eastAsia="Calibri" w:hAnsi="Times New Roman" w:cs="Times New Roman"/>
          <w:color w:val="000000"/>
          <w:sz w:val="20"/>
          <w:szCs w:val="20"/>
        </w:rPr>
        <w:t xml:space="preserve"> (Sept. 2018), https://techcrunch.com/2018/09/12/apple-watch-series-4-can-detect-afib-and-perform-an-ecg/. </w:t>
      </w:r>
      <w:r>
        <w:rPr>
          <w:rFonts w:ascii="Times New Roman" w:eastAsia="Calibri" w:hAnsi="Times New Roman" w:cs="Times New Roman"/>
          <w:i/>
          <w:color w:val="000000"/>
          <w:sz w:val="20"/>
          <w:szCs w:val="20"/>
        </w:rPr>
        <w:t xml:space="preserve">See </w:t>
      </w:r>
      <w:r>
        <w:rPr>
          <w:rFonts w:ascii="Times New Roman" w:eastAsia="Calibri" w:hAnsi="Times New Roman" w:cs="Times New Roman"/>
          <w:i/>
          <w:color w:val="000000"/>
          <w:sz w:val="20"/>
          <w:szCs w:val="20"/>
        </w:rPr>
        <w:t xml:space="preserve">also </w:t>
      </w:r>
      <w:r>
        <w:rPr>
          <w:rFonts w:ascii="Times New Roman" w:eastAsia="Calibri" w:hAnsi="Times New Roman" w:cs="Times New Roman"/>
          <w:color w:val="000000"/>
          <w:sz w:val="20"/>
          <w:szCs w:val="20"/>
        </w:rPr>
        <w:t xml:space="preserve">David Phelan, </w:t>
      </w:r>
      <w:r>
        <w:rPr>
          <w:rFonts w:ascii="Times New Roman" w:eastAsia="Calibri" w:hAnsi="Times New Roman" w:cs="Times New Roman"/>
          <w:i/>
          <w:color w:val="000000"/>
          <w:sz w:val="20"/>
          <w:szCs w:val="20"/>
        </w:rPr>
        <w:t>Apple Watch Series 4: When Will the Brilliant ECG Feature Arrive in the States and Worldwide?</w:t>
      </w:r>
      <w:r>
        <w:rPr>
          <w:rFonts w:ascii="Times New Roman" w:eastAsia="Calibri" w:hAnsi="Times New Roman" w:cs="Times New Roman"/>
          <w:color w:val="000000"/>
          <w:sz w:val="20"/>
          <w:szCs w:val="20"/>
        </w:rPr>
        <w:t xml:space="preserve">, </w:t>
      </w:r>
      <w:r>
        <w:rPr>
          <w:rFonts w:ascii="Times New Roman" w:eastAsia="Calibri" w:hAnsi="Times New Roman" w:cs="Times New Roman"/>
          <w:smallCaps/>
          <w:color w:val="000000"/>
          <w:sz w:val="20"/>
          <w:szCs w:val="20"/>
        </w:rPr>
        <w:t>Forbes</w:t>
      </w:r>
      <w:r>
        <w:rPr>
          <w:rFonts w:ascii="Times New Roman" w:eastAsia="Calibri" w:hAnsi="Times New Roman" w:cs="Times New Roman"/>
          <w:color w:val="000000"/>
          <w:sz w:val="20"/>
          <w:szCs w:val="20"/>
        </w:rPr>
        <w:t xml:space="preserve"> (Sept. 27, 2018, 5:31 PM), https://www.forbes.com/sites/davidphelan/2018/09/27/apple-watch-series-4-when-will-the-ecg-feature-arrive-in-the-states-and-worldwide/#19ac03a63a09.</w:t>
      </w:r>
    </w:p>
  </w:endnote>
  <w:endnote w:id="21">
    <w:p w:rsidR="00297AE8" w:rsidRDefault="006E339C">
      <w:pPr>
        <w:pBdr>
          <w:top w:val="nil"/>
          <w:left w:val="nil"/>
          <w:bottom w:val="nil"/>
          <w:right w:val="nil"/>
          <w:between w:val="nil"/>
        </w:pBd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Hayley Tsukayama, </w:t>
      </w:r>
      <w:r>
        <w:rPr>
          <w:rFonts w:ascii="Times New Roman" w:eastAsia="Calibri" w:hAnsi="Times New Roman" w:cs="Times New Roman"/>
          <w:i/>
          <w:color w:val="000000"/>
          <w:sz w:val="20"/>
          <w:szCs w:val="20"/>
        </w:rPr>
        <w:t>What Cardiologists Think About the Apple Watch’s Heart-Trac</w:t>
      </w:r>
      <w:r>
        <w:rPr>
          <w:rFonts w:ascii="Times New Roman" w:eastAsia="Calibri" w:hAnsi="Times New Roman" w:cs="Times New Roman"/>
          <w:i/>
          <w:color w:val="000000"/>
          <w:sz w:val="20"/>
          <w:szCs w:val="20"/>
        </w:rPr>
        <w:t>king Feature</w:t>
      </w:r>
      <w:r>
        <w:rPr>
          <w:rFonts w:ascii="Times New Roman" w:eastAsia="Calibri" w:hAnsi="Times New Roman" w:cs="Times New Roman"/>
          <w:color w:val="000000"/>
          <w:sz w:val="20"/>
          <w:szCs w:val="20"/>
        </w:rPr>
        <w:t xml:space="preserve">, </w:t>
      </w:r>
      <w:r>
        <w:rPr>
          <w:rFonts w:ascii="Times New Roman" w:eastAsia="Calibri" w:hAnsi="Times New Roman" w:cs="Times New Roman"/>
          <w:smallCaps/>
          <w:color w:val="000000"/>
          <w:sz w:val="20"/>
          <w:szCs w:val="20"/>
        </w:rPr>
        <w:t xml:space="preserve">Wash. Post </w:t>
      </w:r>
      <w:r>
        <w:rPr>
          <w:rFonts w:ascii="Times New Roman" w:eastAsia="Calibri" w:hAnsi="Times New Roman" w:cs="Times New Roman"/>
          <w:color w:val="000000"/>
          <w:sz w:val="20"/>
          <w:szCs w:val="20"/>
        </w:rPr>
        <w:t>(Sept. 14, 2018), https://www.washingtonpost.com/technology/2018/09/14/what-cardiologists-think-about-apple-watchs-heart-tracking-feature/?noredirect=on&amp;utm_term=.693cdd73ab20.</w:t>
      </w:r>
    </w:p>
  </w:endnote>
  <w:endnote w:id="22">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Burns, </w:t>
      </w:r>
      <w:r>
        <w:rPr>
          <w:rFonts w:ascii="Times New Roman" w:eastAsia="Calibri" w:hAnsi="Times New Roman" w:cs="Times New Roman"/>
          <w:i/>
          <w:color w:val="000000"/>
          <w:sz w:val="20"/>
          <w:szCs w:val="20"/>
        </w:rPr>
        <w:t xml:space="preserve">supra </w:t>
      </w:r>
      <w:r>
        <w:rPr>
          <w:rFonts w:ascii="Times New Roman" w:eastAsia="Calibri" w:hAnsi="Times New Roman" w:cs="Times New Roman"/>
          <w:color w:val="000000"/>
          <w:sz w:val="20"/>
          <w:szCs w:val="20"/>
        </w:rPr>
        <w:t>note 20.</w:t>
      </w:r>
    </w:p>
  </w:endnote>
  <w:endnote w:id="23">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Tsukayama, </w:t>
      </w:r>
      <w:r>
        <w:rPr>
          <w:rFonts w:ascii="Times New Roman" w:eastAsia="Calibri" w:hAnsi="Times New Roman" w:cs="Times New Roman"/>
          <w:i/>
          <w:color w:val="000000"/>
          <w:sz w:val="20"/>
          <w:szCs w:val="20"/>
        </w:rPr>
        <w:t xml:space="preserve">supra </w:t>
      </w:r>
      <w:r>
        <w:rPr>
          <w:rFonts w:ascii="Times New Roman" w:eastAsia="Calibri" w:hAnsi="Times New Roman" w:cs="Times New Roman"/>
          <w:color w:val="000000"/>
          <w:sz w:val="20"/>
          <w:szCs w:val="20"/>
        </w:rPr>
        <w:t>note 21.</w:t>
      </w:r>
    </w:p>
  </w:endnote>
  <w:endnote w:id="24">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Litten, </w:t>
      </w:r>
      <w:r>
        <w:rPr>
          <w:rFonts w:ascii="Times New Roman" w:eastAsia="Calibri" w:hAnsi="Times New Roman" w:cs="Times New Roman"/>
          <w:i/>
          <w:color w:val="000000"/>
          <w:sz w:val="20"/>
          <w:szCs w:val="20"/>
        </w:rPr>
        <w:t xml:space="preserve">supra </w:t>
      </w:r>
      <w:r>
        <w:rPr>
          <w:rFonts w:ascii="Times New Roman" w:eastAsia="Calibri" w:hAnsi="Times New Roman" w:cs="Times New Roman"/>
          <w:color w:val="000000"/>
          <w:sz w:val="20"/>
          <w:szCs w:val="20"/>
        </w:rPr>
        <w:t>note 19.</w:t>
      </w:r>
    </w:p>
  </w:endnote>
  <w:endnote w:id="25">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Paul A. Drey &amp; Sarah Wendler, </w:t>
      </w:r>
      <w:r>
        <w:rPr>
          <w:rFonts w:ascii="Times New Roman" w:eastAsia="Calibri" w:hAnsi="Times New Roman" w:cs="Times New Roman"/>
          <w:i/>
          <w:color w:val="000000"/>
          <w:sz w:val="20"/>
          <w:szCs w:val="20"/>
        </w:rPr>
        <w:t>Peeling Back the Apple Watch: Do HIPAA and the Apple Watch Go Together?</w:t>
      </w:r>
      <w:r>
        <w:rPr>
          <w:rFonts w:ascii="Times New Roman" w:eastAsia="Calibri" w:hAnsi="Times New Roman" w:cs="Times New Roman"/>
          <w:color w:val="000000"/>
          <w:sz w:val="20"/>
          <w:szCs w:val="20"/>
        </w:rPr>
        <w:t>, A.B.A. (Sept. 27, 2018),</w:t>
      </w:r>
      <w:r>
        <w:rPr>
          <w:rFonts w:ascii="Times New Roman" w:eastAsia="Calibri" w:hAnsi="Times New Roman" w:cs="Times New Roman"/>
          <w:i/>
          <w:sz w:val="20"/>
          <w:szCs w:val="20"/>
        </w:rPr>
        <w:t xml:space="preserve"> </w:t>
      </w:r>
      <w:hyperlink r:id="rId7" w:history="1">
        <w:r>
          <w:rPr>
            <w:rStyle w:val="Hyperlink"/>
            <w:rFonts w:ascii="Times New Roman" w:eastAsia="Calibri" w:hAnsi="Times New Roman" w:cs="Times New Roman"/>
            <w:color w:val="auto"/>
            <w:sz w:val="20"/>
            <w:szCs w:val="20"/>
            <w:u w:val="none"/>
          </w:rPr>
          <w:t>https://www.americanbar.org/groups/health_law/publications/aba_health_ esource/2015-2016/</w:t>
        </w:r>
      </w:hyperlink>
      <w:r>
        <w:rPr>
          <w:rFonts w:ascii="Times New Roman" w:eastAsia="Calibri" w:hAnsi="Times New Roman" w:cs="Times New Roman"/>
          <w:sz w:val="20"/>
          <w:szCs w:val="20"/>
        </w:rPr>
        <w:t>september/applewatch/.</w:t>
      </w:r>
    </w:p>
  </w:endnote>
  <w:endnote w:id="26">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45 C.F.R. § 160.103.</w:t>
      </w:r>
    </w:p>
  </w:endnote>
  <w:endnote w:id="27">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Drey &amp; Wendler, </w:t>
      </w:r>
      <w:r>
        <w:rPr>
          <w:rFonts w:ascii="Times New Roman" w:eastAsia="Calibri" w:hAnsi="Times New Roman" w:cs="Times New Roman"/>
          <w:i/>
          <w:color w:val="000000"/>
          <w:sz w:val="20"/>
          <w:szCs w:val="20"/>
        </w:rPr>
        <w:t xml:space="preserve">supra </w:t>
      </w:r>
      <w:r>
        <w:rPr>
          <w:rFonts w:ascii="Times New Roman" w:eastAsia="Calibri" w:hAnsi="Times New Roman" w:cs="Times New Roman"/>
          <w:color w:val="000000"/>
          <w:sz w:val="20"/>
          <w:szCs w:val="20"/>
        </w:rPr>
        <w:t>note 25.</w:t>
      </w:r>
    </w:p>
  </w:endnote>
  <w:endnote w:id="28">
    <w:p w:rsidR="00297AE8" w:rsidRDefault="006E339C">
      <w:pPr>
        <w:pBdr>
          <w:top w:val="nil"/>
          <w:left w:val="nil"/>
          <w:bottom w:val="nil"/>
          <w:right w:val="nil"/>
          <w:between w:val="nil"/>
        </w:pBdr>
        <w:spacing w:after="0" w:line="240" w:lineRule="auto"/>
        <w:rPr>
          <w:rFonts w:ascii="Times New Roman" w:hAnsi="Times New Roman" w:cs="Times New Roman"/>
          <w:i/>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w:t>
      </w:r>
      <w:r>
        <w:rPr>
          <w:rFonts w:ascii="Times New Roman" w:eastAsia="Calibri" w:hAnsi="Times New Roman" w:cs="Times New Roman"/>
          <w:i/>
          <w:color w:val="000000"/>
          <w:sz w:val="20"/>
          <w:szCs w:val="20"/>
        </w:rPr>
        <w:t>Id.</w:t>
      </w:r>
    </w:p>
  </w:endnote>
  <w:endnote w:id="29">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w:t>
      </w:r>
      <w:r>
        <w:rPr>
          <w:rFonts w:ascii="Times New Roman" w:eastAsia="Calibri" w:hAnsi="Times New Roman" w:cs="Times New Roman"/>
          <w:i/>
          <w:color w:val="000000"/>
          <w:sz w:val="20"/>
          <w:szCs w:val="20"/>
        </w:rPr>
        <w:t>Id.</w:t>
      </w:r>
      <w:r>
        <w:rPr>
          <w:rFonts w:ascii="Times New Roman" w:eastAsia="Calibri" w:hAnsi="Times New Roman" w:cs="Times New Roman"/>
          <w:color w:val="000000"/>
          <w:sz w:val="20"/>
          <w:szCs w:val="20"/>
        </w:rPr>
        <w:t xml:space="preserve"> </w:t>
      </w:r>
    </w:p>
  </w:endnote>
  <w:endnote w:id="30">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w:t>
      </w:r>
      <w:r>
        <w:rPr>
          <w:rFonts w:ascii="Times New Roman" w:eastAsia="Calibri" w:hAnsi="Times New Roman" w:cs="Times New Roman"/>
          <w:i/>
          <w:color w:val="000000"/>
          <w:sz w:val="20"/>
          <w:szCs w:val="20"/>
        </w:rPr>
        <w:t>Mayo Mobile Patient App</w:t>
      </w:r>
      <w:r>
        <w:rPr>
          <w:rFonts w:ascii="Times New Roman" w:eastAsia="Calibri" w:hAnsi="Times New Roman" w:cs="Times New Roman"/>
          <w:color w:val="000000"/>
          <w:sz w:val="20"/>
          <w:szCs w:val="20"/>
        </w:rPr>
        <w:t xml:space="preserve">, </w:t>
      </w:r>
      <w:r>
        <w:rPr>
          <w:rFonts w:ascii="Times New Roman" w:eastAsia="Calibri" w:hAnsi="Times New Roman" w:cs="Times New Roman"/>
          <w:smallCaps/>
          <w:color w:val="000000"/>
          <w:sz w:val="20"/>
          <w:szCs w:val="20"/>
        </w:rPr>
        <w:t xml:space="preserve">Mayo Clinic </w:t>
      </w:r>
      <w:r>
        <w:rPr>
          <w:rFonts w:ascii="Times New Roman" w:eastAsia="Calibri" w:hAnsi="Times New Roman" w:cs="Times New Roman"/>
          <w:color w:val="000000"/>
          <w:sz w:val="20"/>
          <w:szCs w:val="20"/>
        </w:rPr>
        <w:t xml:space="preserve">(Oct. 31, 2014), https://alumniassociation.mayo.edu/mayo-patient-app-free-download/; Brian Kilen, </w:t>
      </w:r>
      <w:r>
        <w:rPr>
          <w:rFonts w:ascii="Times New Roman" w:eastAsia="Calibri" w:hAnsi="Times New Roman" w:cs="Times New Roman"/>
          <w:i/>
          <w:color w:val="000000"/>
          <w:sz w:val="20"/>
          <w:szCs w:val="20"/>
        </w:rPr>
        <w:t>Mayo Clinic Announces Apple Watch App for Patients and Physicians</w:t>
      </w:r>
      <w:r>
        <w:rPr>
          <w:rFonts w:ascii="Times New Roman" w:eastAsia="Calibri" w:hAnsi="Times New Roman" w:cs="Times New Roman"/>
          <w:color w:val="000000"/>
          <w:sz w:val="20"/>
          <w:szCs w:val="20"/>
        </w:rPr>
        <w:t xml:space="preserve">, </w:t>
      </w:r>
      <w:r>
        <w:rPr>
          <w:rFonts w:ascii="Times New Roman" w:eastAsia="Calibri" w:hAnsi="Times New Roman" w:cs="Times New Roman"/>
          <w:smallCaps/>
          <w:color w:val="000000"/>
          <w:sz w:val="20"/>
          <w:szCs w:val="20"/>
        </w:rPr>
        <w:t xml:space="preserve">Mayo Clinic </w:t>
      </w:r>
      <w:r>
        <w:rPr>
          <w:rFonts w:ascii="Times New Roman" w:eastAsia="Calibri" w:hAnsi="Times New Roman" w:cs="Times New Roman"/>
          <w:color w:val="000000"/>
          <w:sz w:val="20"/>
          <w:szCs w:val="20"/>
        </w:rPr>
        <w:t>(Apr. 24, 2015), https://newsnetwork.mayoclinic.org/discussion/mayo-clinic-anno</w:t>
      </w:r>
      <w:r>
        <w:rPr>
          <w:rFonts w:ascii="Times New Roman" w:eastAsia="Calibri" w:hAnsi="Times New Roman" w:cs="Times New Roman"/>
          <w:color w:val="000000"/>
          <w:sz w:val="20"/>
          <w:szCs w:val="20"/>
        </w:rPr>
        <w:t>unces-apple-watch-app-for-patients-and-physicians/.</w:t>
      </w:r>
    </w:p>
  </w:endnote>
  <w:endnote w:id="31">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w:t>
      </w:r>
      <w:r>
        <w:rPr>
          <w:rFonts w:ascii="Times New Roman" w:eastAsia="Calibri" w:hAnsi="Times New Roman" w:cs="Times New Roman"/>
          <w:i/>
          <w:color w:val="000000"/>
          <w:sz w:val="20"/>
          <w:szCs w:val="20"/>
        </w:rPr>
        <w:t xml:space="preserve">Supra </w:t>
      </w:r>
      <w:r>
        <w:rPr>
          <w:rFonts w:ascii="Times New Roman" w:eastAsia="Calibri" w:hAnsi="Times New Roman" w:cs="Times New Roman"/>
          <w:color w:val="000000"/>
          <w:sz w:val="20"/>
          <w:szCs w:val="20"/>
        </w:rPr>
        <w:t>note 26.</w:t>
      </w:r>
    </w:p>
  </w:endnote>
  <w:endnote w:id="32">
    <w:p w:rsidR="00297AE8" w:rsidRDefault="006E339C">
      <w:pPr>
        <w:pBdr>
          <w:top w:val="nil"/>
          <w:left w:val="nil"/>
          <w:bottom w:val="nil"/>
          <w:right w:val="nil"/>
          <w:between w:val="nil"/>
        </w:pBdr>
        <w:spacing w:after="0" w:line="240" w:lineRule="auto"/>
        <w:rPr>
          <w:rFonts w:ascii="Times New Roman" w:hAnsi="Times New Roman" w:cs="Times New Roman"/>
          <w:i/>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w:t>
      </w:r>
      <w:r>
        <w:rPr>
          <w:rFonts w:ascii="Times New Roman" w:eastAsia="Calibri" w:hAnsi="Times New Roman" w:cs="Times New Roman"/>
          <w:i/>
          <w:color w:val="000000"/>
          <w:sz w:val="20"/>
          <w:szCs w:val="20"/>
        </w:rPr>
        <w:t>Id.</w:t>
      </w:r>
    </w:p>
  </w:endnote>
  <w:endnote w:id="33">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Fred Donovan, </w:t>
      </w:r>
      <w:r>
        <w:rPr>
          <w:rFonts w:ascii="Times New Roman" w:eastAsia="Calibri" w:hAnsi="Times New Roman" w:cs="Times New Roman"/>
          <w:i/>
          <w:color w:val="000000"/>
          <w:sz w:val="20"/>
          <w:szCs w:val="20"/>
        </w:rPr>
        <w:t>How Does HIPAA Apply to Wearable Health Technology?</w:t>
      </w:r>
      <w:r>
        <w:rPr>
          <w:rFonts w:ascii="Times New Roman" w:eastAsia="Calibri" w:hAnsi="Times New Roman" w:cs="Times New Roman"/>
          <w:color w:val="000000"/>
          <w:sz w:val="20"/>
          <w:szCs w:val="20"/>
        </w:rPr>
        <w:t xml:space="preserve">, </w:t>
      </w:r>
      <w:r>
        <w:rPr>
          <w:rFonts w:ascii="Times New Roman" w:eastAsia="Calibri" w:hAnsi="Times New Roman" w:cs="Times New Roman"/>
          <w:smallCaps/>
          <w:color w:val="000000"/>
          <w:sz w:val="20"/>
          <w:szCs w:val="20"/>
        </w:rPr>
        <w:t>Health IT Security</w:t>
      </w:r>
      <w:r>
        <w:rPr>
          <w:rFonts w:ascii="Times New Roman" w:eastAsia="Calibri" w:hAnsi="Times New Roman" w:cs="Times New Roman"/>
          <w:color w:val="000000"/>
          <w:sz w:val="20"/>
          <w:szCs w:val="20"/>
        </w:rPr>
        <w:t xml:space="preserve"> (July 24, 2018), https://healthitsecurity.com/news/how-does-hipaa-apply-to-wearable-health-te</w:t>
      </w:r>
      <w:r>
        <w:rPr>
          <w:rFonts w:ascii="Times New Roman" w:eastAsia="Calibri" w:hAnsi="Times New Roman" w:cs="Times New Roman"/>
          <w:color w:val="000000"/>
          <w:sz w:val="20"/>
          <w:szCs w:val="20"/>
        </w:rPr>
        <w:t>chnology.</w:t>
      </w:r>
    </w:p>
  </w:endnote>
  <w:endnote w:id="34">
    <w:p w:rsidR="00297AE8" w:rsidRDefault="006E339C">
      <w:pPr>
        <w:pBdr>
          <w:top w:val="nil"/>
          <w:left w:val="nil"/>
          <w:bottom w:val="nil"/>
          <w:right w:val="nil"/>
          <w:between w:val="nil"/>
        </w:pBdr>
        <w:spacing w:after="0" w:line="240" w:lineRule="auto"/>
        <w:jc w:val="both"/>
        <w:rPr>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w:t>
      </w:r>
      <w:r>
        <w:rPr>
          <w:rFonts w:ascii="Times New Roman" w:eastAsia="Calibri" w:hAnsi="Times New Roman" w:cs="Times New Roman"/>
          <w:i/>
          <w:color w:val="000000"/>
          <w:sz w:val="20"/>
          <w:szCs w:val="20"/>
        </w:rPr>
        <w:t xml:space="preserve">See supra </w:t>
      </w:r>
      <w:r>
        <w:rPr>
          <w:rFonts w:ascii="Times New Roman" w:eastAsia="Calibri" w:hAnsi="Times New Roman" w:cs="Times New Roman"/>
          <w:color w:val="000000"/>
          <w:sz w:val="20"/>
          <w:szCs w:val="20"/>
        </w:rPr>
        <w:t xml:space="preserve">note 25; Elizabeth Snell, </w:t>
      </w:r>
      <w:r>
        <w:rPr>
          <w:rFonts w:ascii="Times New Roman" w:eastAsia="Calibri" w:hAnsi="Times New Roman" w:cs="Times New Roman"/>
          <w:i/>
          <w:color w:val="000000"/>
          <w:sz w:val="20"/>
          <w:szCs w:val="20"/>
        </w:rPr>
        <w:t>How Do HIPAA Regulations Apply to Wearable Devices?</w:t>
      </w:r>
      <w:r>
        <w:rPr>
          <w:rFonts w:ascii="Times New Roman" w:eastAsia="Calibri" w:hAnsi="Times New Roman" w:cs="Times New Roman"/>
          <w:color w:val="000000"/>
          <w:sz w:val="20"/>
          <w:szCs w:val="20"/>
        </w:rPr>
        <w:t xml:space="preserve">, </w:t>
      </w:r>
      <w:r>
        <w:rPr>
          <w:rFonts w:ascii="Times New Roman" w:eastAsia="Calibri" w:hAnsi="Times New Roman" w:cs="Times New Roman"/>
          <w:smallCaps/>
          <w:color w:val="000000"/>
          <w:sz w:val="20"/>
          <w:szCs w:val="20"/>
        </w:rPr>
        <w:t xml:space="preserve">Health IT Security </w:t>
      </w:r>
      <w:r>
        <w:rPr>
          <w:rFonts w:ascii="Times New Roman" w:eastAsia="Calibri" w:hAnsi="Times New Roman" w:cs="Times New Roman"/>
          <w:color w:val="000000"/>
          <w:sz w:val="20"/>
          <w:szCs w:val="20"/>
        </w:rPr>
        <w:t>(Mar. 23, 2017), https://healthitsecurity.com/news/how-do-hipaa-regulations-apply-to-wearable-devices.</w:t>
      </w:r>
    </w:p>
  </w:endnote>
  <w:endnote w:id="35">
    <w:p w:rsidR="00297AE8" w:rsidRDefault="006E339C">
      <w:pPr>
        <w:pBdr>
          <w:top w:val="nil"/>
          <w:left w:val="nil"/>
          <w:bottom w:val="nil"/>
          <w:right w:val="nil"/>
          <w:between w:val="nil"/>
        </w:pBdr>
        <w:spacing w:after="0" w:line="240" w:lineRule="auto"/>
        <w:rPr>
          <w:rFonts w:ascii="Times New Roman" w:hAnsi="Times New Roman" w:cs="Times New Roman"/>
          <w:color w:val="000000"/>
          <w:sz w:val="20"/>
          <w:szCs w:val="20"/>
        </w:rPr>
      </w:pPr>
      <w:r>
        <w:rPr>
          <w:rFonts w:ascii="Times New Roman" w:hAnsi="Times New Roman" w:cs="Times New Roman"/>
          <w:sz w:val="20"/>
          <w:szCs w:val="20"/>
          <w:vertAlign w:val="superscript"/>
        </w:rPr>
        <w:endnoteRef/>
      </w:r>
      <w:r>
        <w:rPr>
          <w:rFonts w:ascii="Times New Roman" w:eastAsia="Calibri" w:hAnsi="Times New Roman" w:cs="Times New Roman"/>
          <w:color w:val="000000"/>
          <w:sz w:val="20"/>
          <w:szCs w:val="20"/>
        </w:rPr>
        <w:t xml:space="preserve">  Litten, </w:t>
      </w:r>
      <w:r>
        <w:rPr>
          <w:rFonts w:ascii="Times New Roman" w:eastAsia="Calibri" w:hAnsi="Times New Roman" w:cs="Times New Roman"/>
          <w:i/>
          <w:color w:val="000000"/>
          <w:sz w:val="20"/>
          <w:szCs w:val="20"/>
        </w:rPr>
        <w:t xml:space="preserve">supra </w:t>
      </w:r>
      <w:r>
        <w:rPr>
          <w:rFonts w:ascii="Times New Roman" w:eastAsia="Calibri" w:hAnsi="Times New Roman" w:cs="Times New Roman"/>
          <w:color w:val="000000"/>
          <w:sz w:val="20"/>
          <w:szCs w:val="20"/>
        </w:rPr>
        <w:t>note 19.</w:t>
      </w:r>
    </w:p>
  </w:endnote>
  <w:endnote w:id="36">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endnoteRef/>
      </w:r>
      <w:r>
        <w:rPr>
          <w:rFonts w:ascii="Times New Roman" w:hAnsi="Times New Roman" w:cs="Times New Roman"/>
          <w:sz w:val="20"/>
          <w:szCs w:val="20"/>
        </w:rPr>
        <w:t xml:space="preserve">  Naseem S. Miller, </w:t>
      </w:r>
      <w:r>
        <w:rPr>
          <w:rFonts w:ascii="Times New Roman" w:hAnsi="Times New Roman" w:cs="Times New Roman"/>
          <w:i/>
          <w:sz w:val="20"/>
          <w:szCs w:val="20"/>
        </w:rPr>
        <w:t>Orlando Health to take full control of South Lake Hospital</w:t>
      </w:r>
      <w:r>
        <w:rPr>
          <w:rFonts w:ascii="Times New Roman" w:hAnsi="Times New Roman" w:cs="Times New Roman"/>
          <w:sz w:val="20"/>
          <w:szCs w:val="20"/>
        </w:rPr>
        <w:t xml:space="preserve">, </w:t>
      </w:r>
      <w:r>
        <w:rPr>
          <w:rFonts w:ascii="Times New Roman" w:hAnsi="Times New Roman" w:cs="Times New Roman"/>
          <w:smallCaps/>
          <w:sz w:val="20"/>
          <w:szCs w:val="20"/>
        </w:rPr>
        <w:t>Orlando Sentinel</w:t>
      </w:r>
      <w:r>
        <w:rPr>
          <w:rFonts w:ascii="Times New Roman" w:hAnsi="Times New Roman" w:cs="Times New Roman"/>
          <w:sz w:val="20"/>
          <w:szCs w:val="20"/>
        </w:rPr>
        <w:t xml:space="preserve">, Dec. 3, 2018, </w:t>
      </w:r>
      <w:hyperlink r:id="rId8" w:history="1">
        <w:r>
          <w:rPr>
            <w:rStyle w:val="Hyperlink"/>
            <w:rFonts w:ascii="Times New Roman" w:hAnsi="Times New Roman" w:cs="Times New Roman"/>
            <w:color w:val="auto"/>
            <w:sz w:val="20"/>
            <w:szCs w:val="20"/>
            <w:u w:val="none"/>
          </w:rPr>
          <w:t>http://www.orlandosentinel</w:t>
        </w:r>
        <w:r>
          <w:rPr>
            <w:rStyle w:val="Hyperlink"/>
            <w:rFonts w:ascii="Times New Roman" w:hAnsi="Times New Roman" w:cs="Times New Roman"/>
            <w:color w:val="auto"/>
            <w:sz w:val="20"/>
            <w:szCs w:val="20"/>
            <w:u w:val="none"/>
          </w:rPr>
          <w:t>.com/health/os-ne-orlando-health-south-lake-integration-20181203-story.html</w:t>
        </w:r>
      </w:hyperlink>
      <w:r>
        <w:rPr>
          <w:rFonts w:ascii="Times New Roman" w:hAnsi="Times New Roman" w:cs="Times New Roman"/>
          <w:sz w:val="20"/>
          <w:szCs w:val="20"/>
        </w:rPr>
        <w:t xml:space="preserve">; Alia Paavola, </w:t>
      </w:r>
      <w:r>
        <w:rPr>
          <w:rFonts w:ascii="Times New Roman" w:hAnsi="Times New Roman" w:cs="Times New Roman"/>
          <w:i/>
          <w:sz w:val="20"/>
          <w:szCs w:val="20"/>
        </w:rPr>
        <w:t>Orlando Health takes over 170-bed Florida hospital</w:t>
      </w:r>
      <w:r>
        <w:rPr>
          <w:rFonts w:ascii="Times New Roman" w:hAnsi="Times New Roman" w:cs="Times New Roman"/>
          <w:sz w:val="20"/>
          <w:szCs w:val="20"/>
        </w:rPr>
        <w:t xml:space="preserve">, </w:t>
      </w:r>
      <w:r>
        <w:rPr>
          <w:rFonts w:ascii="Times New Roman" w:hAnsi="Times New Roman" w:cs="Times New Roman"/>
          <w:smallCaps/>
          <w:sz w:val="20"/>
          <w:szCs w:val="20"/>
        </w:rPr>
        <w:t>Becker’s Hospital Review</w:t>
      </w:r>
      <w:r>
        <w:rPr>
          <w:rFonts w:ascii="Times New Roman" w:hAnsi="Times New Roman" w:cs="Times New Roman"/>
          <w:sz w:val="20"/>
          <w:szCs w:val="20"/>
        </w:rPr>
        <w:t>, Dec. 4, 2018, https://www.beckershospitalreview.com/hospital-transactions-and-valuation</w:t>
      </w:r>
      <w:r>
        <w:rPr>
          <w:rFonts w:ascii="Times New Roman" w:hAnsi="Times New Roman" w:cs="Times New Roman"/>
          <w:sz w:val="20"/>
          <w:szCs w:val="20"/>
        </w:rPr>
        <w:t xml:space="preserve">/orlando-health-takes-over-170-bed-florida-hospital.html. </w:t>
      </w:r>
      <w:r>
        <w:rPr>
          <w:rFonts w:ascii="Times New Roman" w:hAnsi="Times New Roman" w:cs="Times New Roman"/>
          <w:sz w:val="20"/>
          <w:szCs w:val="20"/>
          <w:vertAlign w:val="superscript"/>
        </w:rPr>
        <w:t xml:space="preserve"> </w:t>
      </w:r>
    </w:p>
  </w:endnote>
  <w:endnote w:id="37">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endnoteRef/>
      </w:r>
      <w:r>
        <w:rPr>
          <w:rFonts w:ascii="Times New Roman" w:hAnsi="Times New Roman" w:cs="Times New Roman"/>
          <w:sz w:val="20"/>
          <w:szCs w:val="20"/>
        </w:rPr>
        <w:t xml:space="preserve"> Emily Rappleye, </w:t>
      </w:r>
      <w:r>
        <w:rPr>
          <w:rFonts w:ascii="Times New Roman" w:hAnsi="Times New Roman" w:cs="Times New Roman"/>
          <w:i/>
          <w:sz w:val="20"/>
          <w:szCs w:val="20"/>
        </w:rPr>
        <w:t xml:space="preserve">Cleveland Clinic to restructure leadership in Florida, </w:t>
      </w:r>
      <w:r>
        <w:rPr>
          <w:rFonts w:ascii="Times New Roman" w:hAnsi="Times New Roman" w:cs="Times New Roman"/>
          <w:smallCaps/>
          <w:sz w:val="20"/>
          <w:szCs w:val="20"/>
        </w:rPr>
        <w:t>Becker’s Hospital Review</w:t>
      </w:r>
      <w:r>
        <w:rPr>
          <w:rFonts w:ascii="Times New Roman" w:hAnsi="Times New Roman" w:cs="Times New Roman"/>
          <w:sz w:val="20"/>
          <w:szCs w:val="20"/>
        </w:rPr>
        <w:t xml:space="preserve">, Nov. 28, 2018, </w:t>
      </w:r>
      <w:hyperlink r:id="rId9" w:history="1">
        <w:r>
          <w:rPr>
            <w:rStyle w:val="Hyperlink"/>
            <w:rFonts w:ascii="Times New Roman" w:hAnsi="Times New Roman" w:cs="Times New Roman"/>
            <w:color w:val="auto"/>
            <w:sz w:val="20"/>
            <w:szCs w:val="20"/>
            <w:u w:val="none"/>
          </w:rPr>
          <w:t>https://www.beckershospitalreview.com/hospital-executive-moves/cleveland-clinic-to-restructure-leadership-in-florida.html</w:t>
        </w:r>
      </w:hyperlink>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 </w:t>
      </w:r>
    </w:p>
  </w:endnote>
  <w:endnote w:id="38">
    <w:p w:rsidR="00297AE8" w:rsidRDefault="006E339C">
      <w:pPr>
        <w:pBdr>
          <w:top w:val="nil"/>
          <w:left w:val="nil"/>
          <w:bottom w:val="nil"/>
          <w:right w:val="nil"/>
          <w:between w:val="nil"/>
        </w:pBd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endnoteRef/>
      </w:r>
      <w:r>
        <w:rPr>
          <w:rFonts w:ascii="Times New Roman" w:hAnsi="Times New Roman" w:cs="Times New Roman"/>
          <w:sz w:val="20"/>
          <w:szCs w:val="20"/>
        </w:rPr>
        <w:t xml:space="preserve">  Veronica Brezina-Smith, </w:t>
      </w:r>
      <w:r>
        <w:rPr>
          <w:rFonts w:ascii="Times New Roman" w:hAnsi="Times New Roman" w:cs="Times New Roman"/>
          <w:i/>
          <w:sz w:val="20"/>
          <w:szCs w:val="20"/>
        </w:rPr>
        <w:t>Memorial Hospital of Tampa completes merger with</w:t>
      </w:r>
      <w:r>
        <w:rPr>
          <w:rFonts w:ascii="Times New Roman" w:hAnsi="Times New Roman" w:cs="Times New Roman"/>
          <w:i/>
          <w:sz w:val="20"/>
          <w:szCs w:val="20"/>
        </w:rPr>
        <w:t xml:space="preserve"> Tampa Community Hospital</w:t>
      </w:r>
      <w:r>
        <w:rPr>
          <w:rFonts w:ascii="Times New Roman" w:hAnsi="Times New Roman" w:cs="Times New Roman"/>
          <w:sz w:val="20"/>
          <w:szCs w:val="20"/>
        </w:rPr>
        <w:t xml:space="preserve">, </w:t>
      </w:r>
      <w:r>
        <w:rPr>
          <w:rFonts w:ascii="Times New Roman" w:hAnsi="Times New Roman" w:cs="Times New Roman"/>
          <w:smallCaps/>
          <w:sz w:val="20"/>
          <w:szCs w:val="20"/>
        </w:rPr>
        <w:t>Tampa Bay Business Journal</w:t>
      </w:r>
      <w:r>
        <w:rPr>
          <w:rFonts w:ascii="Times New Roman" w:hAnsi="Times New Roman" w:cs="Times New Roman"/>
          <w:sz w:val="20"/>
          <w:szCs w:val="20"/>
        </w:rPr>
        <w:t>, Nov. 5, 2018, https://www.bizjournals.com/tampabay/news/2018/11/05/memorial-hospital-of-tampa-completes-merger-with.html.</w:t>
      </w:r>
      <w:r>
        <w:rPr>
          <w:rFonts w:ascii="Times New Roman" w:hAnsi="Times New Roman" w:cs="Times New Roman"/>
          <w:sz w:val="20"/>
          <w:szCs w:val="20"/>
          <w:vertAlign w:val="superscript"/>
        </w:rPr>
        <w:t xml:space="preserve"> </w:t>
      </w:r>
    </w:p>
  </w:endnote>
  <w:endnote w:id="39">
    <w:p w:rsidR="00297AE8" w:rsidRDefault="006E339C">
      <w:pPr>
        <w:pBdr>
          <w:top w:val="nil"/>
          <w:left w:val="nil"/>
          <w:bottom w:val="nil"/>
          <w:right w:val="nil"/>
          <w:between w:val="nil"/>
        </w:pBdr>
        <w:spacing w:after="0" w:line="240" w:lineRule="auto"/>
        <w:jc w:val="both"/>
      </w:pPr>
      <w:r>
        <w:rPr>
          <w:rFonts w:ascii="Times New Roman" w:hAnsi="Times New Roman" w:cs="Times New Roman"/>
          <w:sz w:val="20"/>
          <w:szCs w:val="20"/>
          <w:vertAlign w:val="superscript"/>
        </w:rPr>
        <w:endnoteRef/>
      </w:r>
      <w:r>
        <w:t xml:space="preserve">  </w:t>
      </w:r>
      <w:r>
        <w:rPr>
          <w:rFonts w:ascii="Times New Roman" w:hAnsi="Times New Roman" w:cs="Times New Roman"/>
          <w:sz w:val="20"/>
          <w:szCs w:val="20"/>
        </w:rPr>
        <w:t xml:space="preserve">Brian Bandell, </w:t>
      </w:r>
      <w:r>
        <w:rPr>
          <w:rFonts w:ascii="Times New Roman" w:hAnsi="Times New Roman" w:cs="Times New Roman"/>
          <w:i/>
          <w:sz w:val="20"/>
          <w:szCs w:val="20"/>
        </w:rPr>
        <w:t xml:space="preserve">Boca Raton Regional Hospital nears deal with Baptist Health </w:t>
      </w:r>
      <w:r>
        <w:rPr>
          <w:rFonts w:ascii="Times New Roman" w:hAnsi="Times New Roman" w:cs="Times New Roman"/>
          <w:i/>
          <w:sz w:val="20"/>
          <w:szCs w:val="20"/>
        </w:rPr>
        <w:t>as losses narrow</w:t>
      </w:r>
      <w:r>
        <w:rPr>
          <w:rFonts w:ascii="Times New Roman" w:hAnsi="Times New Roman" w:cs="Times New Roman"/>
          <w:sz w:val="20"/>
          <w:szCs w:val="20"/>
        </w:rPr>
        <w:t xml:space="preserve">, </w:t>
      </w:r>
      <w:r>
        <w:rPr>
          <w:rFonts w:ascii="Times New Roman" w:hAnsi="Times New Roman" w:cs="Times New Roman"/>
          <w:smallCaps/>
          <w:sz w:val="20"/>
          <w:szCs w:val="20"/>
        </w:rPr>
        <w:t>South Florida Business Journal</w:t>
      </w:r>
      <w:r>
        <w:rPr>
          <w:rFonts w:ascii="Times New Roman" w:hAnsi="Times New Roman" w:cs="Times New Roman"/>
          <w:sz w:val="20"/>
          <w:szCs w:val="20"/>
        </w:rPr>
        <w:t>, Nov. 27, 2018, https://www.bizjournals.com/southflorida/news/2018/11/27/boca-regional-hospital-nears-deal-with-baptist.html.</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693052"/>
      <w:docPartObj>
        <w:docPartGallery w:val="Page Numbers (Bottom of Page)"/>
        <w:docPartUnique/>
      </w:docPartObj>
    </w:sdtPr>
    <w:sdtEndPr>
      <w:rPr>
        <w:rFonts w:ascii="Times New Roman" w:hAnsi="Times New Roman" w:cs="Times New Roman"/>
        <w:noProof/>
        <w:sz w:val="20"/>
        <w:szCs w:val="20"/>
      </w:rPr>
    </w:sdtEndPr>
    <w:sdtContent>
      <w:p w:rsidR="00297AE8" w:rsidRDefault="006E339C">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11</w:t>
        </w:r>
        <w:r>
          <w:rPr>
            <w:rFonts w:ascii="Times New Roman" w:hAnsi="Times New Roman" w:cs="Times New Roman"/>
            <w:noProof/>
            <w:sz w:val="20"/>
            <w:szCs w:val="20"/>
          </w:rPr>
          <w:fldChar w:fldCharType="end"/>
        </w:r>
      </w:p>
    </w:sdtContent>
  </w:sdt>
  <w:p w:rsidR="00297AE8" w:rsidRDefault="0029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AE8" w:rsidRDefault="006E339C">
      <w:pPr>
        <w:spacing w:after="0" w:line="240" w:lineRule="auto"/>
      </w:pPr>
      <w:r>
        <w:separator/>
      </w:r>
    </w:p>
  </w:footnote>
  <w:footnote w:type="continuationSeparator" w:id="0">
    <w:p w:rsidR="00297AE8" w:rsidRDefault="006E3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4206"/>
    <w:multiLevelType w:val="hybridMultilevel"/>
    <w:tmpl w:val="64BA9C80"/>
    <w:lvl w:ilvl="0" w:tplc="A4467B4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B1B77"/>
    <w:multiLevelType w:val="hybridMultilevel"/>
    <w:tmpl w:val="CC8E0848"/>
    <w:lvl w:ilvl="0" w:tplc="BC58F24C">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E8"/>
    <w:rsid w:val="00297AE8"/>
    <w:rsid w:val="006E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9B69A-1E24-4B4A-8A93-F70B3696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framePr w:wrap="notBeside" w:hAnchor="text"/>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99"/>
    <w:qFormat/>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lockText">
    <w:name w:val="Block Text"/>
    <w:basedOn w:val="Normal"/>
    <w:qFormat/>
    <w:pPr>
      <w:spacing w:after="240" w:line="240" w:lineRule="auto"/>
    </w:pPr>
    <w:rPr>
      <w:rFonts w:ascii="Times New Roman" w:eastAsiaTheme="minorEastAsia" w:hAnsi="Times New Roman"/>
      <w:i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qFormat/>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rPr>
      <w:rFonts w:ascii="Times New Roman" w:hAnsi="Times New Roman"/>
      <w:sz w:val="24"/>
      <w:szCs w:val="24"/>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next w:val="Normal"/>
    <w:link w:val="EndnoteTextChar"/>
    <w:pPr>
      <w:spacing w:after="240" w:line="240" w:lineRule="auto"/>
      <w:ind w:left="720" w:hanging="720"/>
    </w:pPr>
    <w:rPr>
      <w:rFonts w:ascii="Times New Roman" w:hAnsi="Times New Roman"/>
      <w:sz w:val="20"/>
      <w:szCs w:val="24"/>
    </w:rPr>
  </w:style>
  <w:style w:type="character" w:customStyle="1" w:styleId="EndnoteTextChar">
    <w:name w:val="Endnote Text Char"/>
    <w:basedOn w:val="DefaultParagraphFont"/>
    <w:link w:val="EndnoteText"/>
    <w:rPr>
      <w:rFonts w:ascii="Times New Roman" w:hAnsi="Times New Roman"/>
      <w:sz w:val="20"/>
      <w:szCs w:val="24"/>
    </w:rPr>
  </w:style>
  <w:style w:type="character" w:customStyle="1" w:styleId="et03">
    <w:name w:val="et03"/>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orlandosentinel.com/health/os-ne-orlando-health-south-lake-integration-20181203-story.html" TargetMode="External"/><Relationship Id="rId3" Type="http://schemas.openxmlformats.org/officeDocument/2006/relationships/hyperlink" Target="https://ecf.flmd.uscourts.gov/cgi-bin/show_public_doc?2014-00437-71-2-cv" TargetMode="External"/><Relationship Id="rId7" Type="http://schemas.openxmlformats.org/officeDocument/2006/relationships/hyperlink" Target="https://www.americanbar.org/groups/health_law/publications/aba_health_%20esource/2015-2016/" TargetMode="External"/><Relationship Id="rId2" Type="http://schemas.openxmlformats.org/officeDocument/2006/relationships/hyperlink" Target="https://www.news-press.com/story/news/2018/12/10/lee-health-facing-whistleblower-lawsuit-alleged-medicare-fraud/2230002002/" TargetMode="External"/><Relationship Id="rId1" Type="http://schemas.openxmlformats.org/officeDocument/2006/relationships/hyperlink" Target="http://www.leehealth.org/about/index.asp" TargetMode="External"/><Relationship Id="rId6" Type="http://schemas.openxmlformats.org/officeDocument/2006/relationships/hyperlink" Target="https://www.techhealthperspectives.com/2018/11/05/the-support-for-patients-and-communities-act-expanding-medicare-coverage-of-telehealth-services-to-combat-the-opioid-crisis/" TargetMode="External"/><Relationship Id="rId5" Type="http://schemas.openxmlformats.org/officeDocument/2006/relationships/hyperlink" Target="https://www.techhealthperspectives.com/2017/07/26/oig-updates-fy-2017-work-plan-to-include-review-of-medicare%20-claims-for-telehealth-services-provided-to-rural-beneficiaries-will-substantive-change-to-medicare-reimbursement-for-telehealth-follow/" TargetMode="External"/><Relationship Id="rId4" Type="http://schemas.openxmlformats.org/officeDocument/2006/relationships/hyperlink" Target="https://www.justice.gov/opa/pr/fourteen-hospitals-pay-us-more-12-million-resolve-false-claims-act-allegations-related" TargetMode="External"/><Relationship Id="rId9" Type="http://schemas.openxmlformats.org/officeDocument/2006/relationships/hyperlink" Target="https://www.beckershospitalreview.com/hospital-executive-moves/cleveland-clinic-to-restructure-leadership-in-flori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372B-06D9-49AA-AB09-38A90947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3830</Words>
  <Characters>21835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Young, Emily K</cp:lastModifiedBy>
  <cp:revision>2</cp:revision>
  <dcterms:created xsi:type="dcterms:W3CDTF">2018-12-20T13:21:00Z</dcterms:created>
  <dcterms:modified xsi:type="dcterms:W3CDTF">2018-12-20T13:21:00Z</dcterms:modified>
</cp:coreProperties>
</file>